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17" w:rsidRPr="00A65217" w:rsidRDefault="00A65217" w:rsidP="00A65217">
      <w:pPr>
        <w:jc w:val="center"/>
        <w:rPr>
          <w:rFonts w:ascii="Times New Roman" w:hAnsi="Times New Roman" w:cs="Times New Roman"/>
          <w:b/>
          <w:color w:val="331F15"/>
          <w:sz w:val="32"/>
          <w:szCs w:val="32"/>
        </w:rPr>
      </w:pPr>
      <w:r>
        <w:rPr>
          <w:rFonts w:ascii="Times New Roman" w:hAnsi="Times New Roman" w:cs="Times New Roman"/>
          <w:b/>
          <w:color w:val="331F15"/>
          <w:sz w:val="32"/>
          <w:szCs w:val="32"/>
        </w:rPr>
        <w:t>Концепции решений и оформлений задач второй части ОГЭ по математике</w:t>
      </w:r>
      <w:bookmarkStart w:id="0" w:name="_GoBack"/>
      <w:bookmarkEnd w:id="0"/>
    </w:p>
    <w:p w:rsidR="00CD6266" w:rsidRDefault="00A65217">
      <w:pPr>
        <w:rPr>
          <w:rFonts w:ascii="Times New Roman" w:hAnsi="Times New Roman" w:cs="Times New Roman"/>
          <w:color w:val="331F15"/>
          <w:sz w:val="32"/>
          <w:szCs w:val="32"/>
        </w:rPr>
      </w:pPr>
      <w:r w:rsidRPr="00A65217">
        <w:rPr>
          <w:rFonts w:ascii="Times New Roman" w:hAnsi="Times New Roman" w:cs="Times New Roman"/>
          <w:color w:val="331F15"/>
          <w:sz w:val="32"/>
          <w:szCs w:val="32"/>
        </w:rPr>
        <w:t xml:space="preserve">ОГЭ по математике сложнее, чем базовый уровень ЕГЭ </w:t>
      </w:r>
      <w:proofErr w:type="gramStart"/>
      <w:r w:rsidRPr="00A65217">
        <w:rPr>
          <w:rFonts w:ascii="Times New Roman" w:hAnsi="Times New Roman" w:cs="Times New Roman"/>
          <w:color w:val="331F15"/>
          <w:sz w:val="32"/>
          <w:szCs w:val="32"/>
        </w:rPr>
        <w:t>по этому</w:t>
      </w:r>
      <w:proofErr w:type="gramEnd"/>
      <w:r w:rsidRPr="00A65217">
        <w:rPr>
          <w:rFonts w:ascii="Times New Roman" w:hAnsi="Times New Roman" w:cs="Times New Roman"/>
          <w:color w:val="331F15"/>
          <w:sz w:val="32"/>
          <w:szCs w:val="32"/>
        </w:rPr>
        <w:t xml:space="preserve"> же предмету, поэтому после сдачи экзамена девятиклассникам и море по колено. Сложность в разы повышается из-за того, какую особенность имеет, в отличие от базы, ОГЭ по математике — вторая часть. Но если научиться ее решать, получить «отлично» за экзамен будет проще простого!</w:t>
      </w:r>
    </w:p>
    <w:p w:rsidR="00A65217" w:rsidRPr="00A65217" w:rsidRDefault="00A65217" w:rsidP="00A65217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r w:rsidRPr="00A65217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 xml:space="preserve">Что </w:t>
      </w:r>
      <w:proofErr w:type="gramStart"/>
      <w:r w:rsidRPr="00A65217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>из себя представляет</w:t>
      </w:r>
      <w:proofErr w:type="gramEnd"/>
      <w:r w:rsidRPr="00A65217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 xml:space="preserve"> вторая часть ОГЭ по математике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В ОГЭ по математике вторая часть включает шесть заданий повышенной сложности (по три на алгебру и геометрию). Для их решения требуются несколько основных навыков:</w:t>
      </w:r>
    </w:p>
    <w:p w:rsidR="00A65217" w:rsidRPr="00A65217" w:rsidRDefault="00A65217" w:rsidP="00A65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умение решать уравнения, неравенства, их системы,</w:t>
      </w:r>
    </w:p>
    <w:p w:rsidR="00A65217" w:rsidRPr="00A65217" w:rsidRDefault="00A65217" w:rsidP="00A65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умение преобразовывать выражения,</w:t>
      </w:r>
    </w:p>
    <w:p w:rsidR="00A65217" w:rsidRPr="00A65217" w:rsidRDefault="00A65217" w:rsidP="00A65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умение строить и читать графики, а также простые математические модели,</w:t>
      </w:r>
    </w:p>
    <w:p w:rsidR="00A65217" w:rsidRPr="00A65217" w:rsidRDefault="00A65217" w:rsidP="00A65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умение работать с фигурами, векторами, координатами,</w:t>
      </w:r>
    </w:p>
    <w:p w:rsidR="00A65217" w:rsidRPr="00A65217" w:rsidRDefault="00A65217" w:rsidP="00A65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умение доказывать приведенное положение,</w:t>
      </w:r>
    </w:p>
    <w:p w:rsidR="00A65217" w:rsidRPr="00A65217" w:rsidRDefault="00A65217" w:rsidP="00A65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умение оценивать суждения на правильность или ошибочность.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Наиболее сложными заданиями являются №22 (алгебра, функции и их свойства) и №25 (геометрия, задача). Для отметки «отлично» достаточно решить правильно все остальное и один из этих номеров.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b/>
          <w:bCs/>
          <w:color w:val="331F15"/>
          <w:sz w:val="32"/>
          <w:szCs w:val="32"/>
          <w:lang w:eastAsia="ru-RU"/>
        </w:rPr>
        <w:t>Критерии оценивания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Максимальный балл — это 12 из 31 балла (по два за каждый номер).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Максимальный балл ставится за полное решение, без ошибок и с верными ответами.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lastRenderedPageBreak/>
        <w:t>Один балл ставится при наличии описки или вычислительной ошибки, с учетом которой ход решения остается верным. В таком случае, ответы могут не совпадать с ключами.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Если же задание выполнено неверно полностью, то ставится ноль баллов.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b/>
          <w:bCs/>
          <w:color w:val="331F15"/>
          <w:sz w:val="32"/>
          <w:szCs w:val="32"/>
          <w:lang w:eastAsia="ru-RU"/>
        </w:rPr>
        <w:t>Задания из второй части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В ОГЭ по математике вторая часть включает три алгебраических номера и три геометрических задачи. При этом</w:t>
      </w:r>
      <w:proofErr w:type="gramStart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,</w:t>
      </w:r>
      <w:proofErr w:type="gramEnd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 xml:space="preserve"> задания № 20-21 (алгебра), № 23-24 (геометрия) одного уровня сложности, а № 22 (алгебра), №24 (геометрия) — труднее.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b/>
          <w:bCs/>
          <w:color w:val="331F15"/>
          <w:sz w:val="32"/>
          <w:szCs w:val="32"/>
          <w:lang w:eastAsia="ru-RU"/>
        </w:rPr>
        <w:t>Как решать вторую часть ОГЭ по математике в 2021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В ОГЭ по математике вторая часть содержит шесть номеров, первый из которых (№20) проверяет умение работать с уравнениями, неравенствами, их системами, а также производить вычисления и преобразования. Оно представлено в качестве примера, который необходимо решить. Стоит следить за наличием минуса (и его сокращением), а также помнить правила преобразования выражений, действий с дробями. Не стоит полагаться исключительно на умение считать в уме: лучше считать на бумаге и после производить проверку (подставляя значение на место неизвестной в уравнениях и производя смежные действия (сложение-вычитание, деление-умножение) в простых примерах). Также нужно помнить простейшие алгоритмы решения примеров: сначала действия в скобках, а потом остальные; первыми идут умножение и деление, потом сложение и вычитание. Так, в дробях ни в коем случае нельзя забывать про знаменатель, а сокращаться из числителя и знаменателя могут только множители (простые числа и выражения в скобках).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 xml:space="preserve">При решении неравенств не стоит забывать о нахождении ОДЗ и знаках промежутков. При переносе на другую сторону знак меняется на противоположный: минус на плюс. При умножении на отрицательное число знак также меняется: минус на плюс, плюс на минус; больше </w:t>
      </w:r>
      <w:proofErr w:type="gramStart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на</w:t>
      </w:r>
      <w:proofErr w:type="gramEnd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 xml:space="preserve"> меньше, меньше на больше.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lastRenderedPageBreak/>
        <w:t xml:space="preserve">На ОГЭ по математике вторая часть может удивить системой. В таком случае можно сложить уравнения системы (первый член с первым, второй со вторым, третий с третьим, ответ с ответом), вывести одну из неизвестных из исходного уравнения и поставить в </w:t>
      </w:r>
      <w:proofErr w:type="gramStart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получившееся</w:t>
      </w:r>
      <w:proofErr w:type="gramEnd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 xml:space="preserve"> в результате сложения для решения.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Задание №22, которое включает в себя на ОГЭ по математике вторая часть, проверяет умение решать текстовые задачи. Их пять видов:</w:t>
      </w:r>
    </w:p>
    <w:p w:rsidR="00A65217" w:rsidRPr="00A65217" w:rsidRDefault="00A65217" w:rsidP="00A652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i/>
          <w:iCs/>
          <w:color w:val="331F15"/>
          <w:sz w:val="32"/>
          <w:szCs w:val="32"/>
          <w:lang w:eastAsia="ru-RU"/>
        </w:rPr>
        <w:t>Движение по воде</w:t>
      </w: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 xml:space="preserve"> — важно понять, как движется лодка (по течению или против него); если по течению, то скорость движения — это скорость лодки и скорость течения; если </w:t>
      </w:r>
      <w:proofErr w:type="gramStart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против</w:t>
      </w:r>
      <w:proofErr w:type="gramEnd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 xml:space="preserve">, </w:t>
      </w:r>
      <w:proofErr w:type="gramStart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то</w:t>
      </w:r>
      <w:proofErr w:type="gramEnd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 xml:space="preserve"> скорость лодки минус скорость течения. Плот собственную скорость не имеет.</w:t>
      </w:r>
    </w:p>
    <w:p w:rsidR="00A65217" w:rsidRPr="00A65217" w:rsidRDefault="00A65217" w:rsidP="00A652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proofErr w:type="gramStart"/>
      <w:r w:rsidRPr="00A65217">
        <w:rPr>
          <w:rFonts w:ascii="TT Firs Neue" w:eastAsia="Times New Roman" w:hAnsi="TT Firs Neue" w:cs="Times New Roman"/>
          <w:i/>
          <w:iCs/>
          <w:color w:val="331F15"/>
          <w:sz w:val="32"/>
          <w:szCs w:val="32"/>
          <w:lang w:eastAsia="ru-RU"/>
        </w:rPr>
        <w:t>Проценты и сплавы</w:t>
      </w: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 — важно понять, что процент повышения или понижения стоимости или концентрации вычисляется от старой, а не новой цены или концентрации, поэтому принимать новую за 100% и исходить из нее ошибочно.</w:t>
      </w:r>
      <w:proofErr w:type="gramEnd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 xml:space="preserve"> Новая цена — это 100% ± процент повышения</w:t>
      </w:r>
      <w:proofErr w:type="gramStart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 xml:space="preserve"> (+) </w:t>
      </w:r>
      <w:proofErr w:type="gramEnd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или понижения (-).</w:t>
      </w:r>
    </w:p>
    <w:p w:rsidR="00A65217" w:rsidRPr="00A65217" w:rsidRDefault="00A65217" w:rsidP="00A652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i/>
          <w:iCs/>
          <w:color w:val="331F15"/>
          <w:sz w:val="32"/>
          <w:szCs w:val="32"/>
          <w:lang w:eastAsia="ru-RU"/>
        </w:rPr>
        <w:t>Совместная работа</w:t>
      </w: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 — нужно сразу узнать, какое количество работы выполняется в час одним из действующих лиц, а совместная работа станет суммой их работы за час, умноженной на время.</w:t>
      </w:r>
    </w:p>
    <w:p w:rsidR="00A65217" w:rsidRPr="00A65217" w:rsidRDefault="00A65217" w:rsidP="00A652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i/>
          <w:iCs/>
          <w:color w:val="331F15"/>
          <w:sz w:val="32"/>
          <w:szCs w:val="32"/>
          <w:lang w:eastAsia="ru-RU"/>
        </w:rPr>
        <w:t>Движение по прямой</w:t>
      </w: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 — важно нарисовать себе рисунок, чтобы представлять, что и как движется. Формула, которая поможет решить любую задачу: путь — это скорость на время.</w:t>
      </w:r>
    </w:p>
    <w:p w:rsidR="00A65217" w:rsidRPr="00A65217" w:rsidRDefault="00A65217" w:rsidP="00A652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i/>
          <w:iCs/>
          <w:color w:val="331F15"/>
          <w:sz w:val="32"/>
          <w:szCs w:val="32"/>
          <w:lang w:eastAsia="ru-RU"/>
        </w:rPr>
        <w:t>Другие задачи</w:t>
      </w: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 — встречаются редко и интуитивно понятны.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В ОГЭ по математике вторая часть алгебры заканчивается номером на построение графика функции и определения какой-либо из ее характеристик. В этом задании важнее всего построить график, так как за его правильное построение можно получить балл, даже не ответив на вопрос, а при ошибке в построении автоматически ставится ноль. Наиболее распространенные графики — параболы (степени), гиперболы (х в знаменателе дроби), непрерывные функции (тригонометрические).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lastRenderedPageBreak/>
        <w:t>Геометрия начинается с решения задачи №23 на вычисление и №24 на доказательство. Чаще всего они связаны с теоремами о треугольнике: прямые углы, биссектрисы, медианы, высоты и пр. Реже встречаются просто углы, окружности, четырехугольники</w:t>
      </w:r>
      <w:proofErr w:type="gramStart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.</w:t>
      </w:r>
      <w:proofErr w:type="gramEnd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 xml:space="preserve"> </w:t>
      </w:r>
      <w:proofErr w:type="gramStart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д</w:t>
      </w:r>
      <w:proofErr w:type="gramEnd"/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ля решения этого задания необходимо уметь ориентироваться в теоремах и аксиомах, знать основные свойства фигур и углов.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Для заключительного задания ОГЭ по математике вторая часть приготовила целый набор фигур. Чаще всего, это окружность, вписанная в фигуру или описанная вокруг нее. Особенность этой задачи в том, что для ее решения недостаточно будет одной или двух теорем: она потребует целую цепь выводов, сделанных на основе более сложных аксиом и свойств. В ее решении поможет практика.</w:t>
      </w:r>
    </w:p>
    <w:p w:rsidR="00A65217" w:rsidRPr="00A65217" w:rsidRDefault="00A65217" w:rsidP="00A65217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</w:pPr>
      <w:r w:rsidRPr="00A65217">
        <w:rPr>
          <w:rFonts w:ascii="TT Firs Neue" w:eastAsia="Times New Roman" w:hAnsi="TT Firs Neue" w:cs="Times New Roman"/>
          <w:color w:val="331F15"/>
          <w:sz w:val="32"/>
          <w:szCs w:val="32"/>
          <w:lang w:eastAsia="ru-RU"/>
        </w:rPr>
        <w:t>Таким образом, ОГЭ по математике — это непростой экзамен, требующий особой подготовки. Для получения отметки «отлично» потребуется приложить массу усилий и усвоить огромное количество заданий, и хорошо иметь наставника на этом нелегком пути. Он сможет рассказать об алгоритмах решения задач и показать принципы их работы на практике. А это — залог «пятерки».</w:t>
      </w:r>
    </w:p>
    <w:p w:rsidR="00A65217" w:rsidRPr="00A65217" w:rsidRDefault="00A65217">
      <w:pPr>
        <w:rPr>
          <w:rFonts w:ascii="Times New Roman" w:hAnsi="Times New Roman" w:cs="Times New Roman"/>
          <w:sz w:val="32"/>
          <w:szCs w:val="32"/>
        </w:rPr>
      </w:pPr>
    </w:p>
    <w:sectPr w:rsidR="00A65217" w:rsidRPr="00A6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 Firs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15A5"/>
    <w:multiLevelType w:val="multilevel"/>
    <w:tmpl w:val="252A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174A1"/>
    <w:multiLevelType w:val="multilevel"/>
    <w:tmpl w:val="0982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64"/>
    <w:rsid w:val="00A65217"/>
    <w:rsid w:val="00CD6266"/>
    <w:rsid w:val="00E0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Гульчачак Расимовна</dc:creator>
  <cp:keywords/>
  <dc:description/>
  <cp:lastModifiedBy>Гульчачак Расимовна</cp:lastModifiedBy>
  <cp:revision>2</cp:revision>
  <dcterms:created xsi:type="dcterms:W3CDTF">2021-08-11T06:01:00Z</dcterms:created>
  <dcterms:modified xsi:type="dcterms:W3CDTF">2021-08-11T06:08:00Z</dcterms:modified>
</cp:coreProperties>
</file>