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25" w:type="dxa"/>
        <w:tblInd w:w="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0C5626" w:rsidRPr="000C5626" w:rsidTr="000C5626">
        <w:tc>
          <w:tcPr>
            <w:tcW w:w="1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626" w:rsidRPr="000C5626" w:rsidRDefault="000C5626" w:rsidP="000C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C5626" w:rsidRPr="000C5626" w:rsidTr="000C5626">
        <w:tc>
          <w:tcPr>
            <w:tcW w:w="1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626" w:rsidRPr="000C5626" w:rsidRDefault="000C5626" w:rsidP="000C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C5626" w:rsidRPr="000C5626" w:rsidTr="000C5626">
        <w:tc>
          <w:tcPr>
            <w:tcW w:w="1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626" w:rsidRPr="000C5626" w:rsidRDefault="000C5626" w:rsidP="000C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C5626" w:rsidRPr="000C5626" w:rsidTr="000C5626">
        <w:tc>
          <w:tcPr>
            <w:tcW w:w="1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Статья посвящена науке – нейропсихологии, которая изучает психические процессы в мозге: восприятие, внимание, пространственную ориентацию, речь, память, эмоциональное реагирование, моторику и др. В данной статье представлены интересные нейропсихологические игры,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нейрогимнастика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и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нейрографика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 С использованием в работе нейропсихологических игр и упражнений, мы увидели, как решаются следующие задачи: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Ребенок учится чувствовать пространство свое тело.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color w:val="000000"/>
              </w:rPr>
              <w:t>Развивается зрительно-моторная координация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(глаз-рука, способность точно направлять движение)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Формируется правильное взаимодействие ног и рук.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Развивается слуховое и зрительное внимание.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Ребенок учится последовательно выполнять действия.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«Руки учат голову, затем поумневшая голова учит руки, а умелые руки снова способствуют развитию мозга»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 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Иван Петрович Павлов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Нейропсихологи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утверждают, что нарушение межполушарного взаимодействия является одной из причин недостатков речи, чтения и письма.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Дети </w:t>
            </w:r>
            <w:proofErr w:type="gram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развиваются</w:t>
            </w:r>
            <w:proofErr w:type="gram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играя, получая удовольствие от взаимодействия друг с другом, стараясь победить, соревнуясь, учитывая на будущее свои ошибки.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Так как в поле зрения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педогога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попадают чаще всего дети с трудностями обучения и проблемами поведения, кому трудно бывает сосредоточиться на занятии, упорядочить и запомнить информацию, тяжело быстро переключаться с одного задания на другое, то становится понятным, что круг таких детей достаточно широк. А также это и дети с дефицитом внимания,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гиперактивностью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, повышенной импульсивностью, с различными задержками и дефицитами психического развития.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Игровые технологии повышают интерес и мотивацию, помогают не бояться ошибок, развивают коммуникацию. Ведь игра — это естественное состояние и потребность любого ребенка.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Абсолютно у любой игры есть развивающий потенциал. Если указано, что игра нейропсихологическая, то обязательно в правилах описано, для кого она будет наиболее полезна и детям какого возраста рекомендована. Чаще всего это возраст от пяти лет и старше. Так что такие игры родители могут покупать и без рекомендаций специалиста — они в любом случае полезны и интересны.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Обычно их авторами являются практикующие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нейропсихологи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, которые придумали и подобрали материал, опираясь на свой опыт работы. А часто в какой-то степени соавторами становятся сами дети, с которыми они работают. Их фантазия и идеи вдохновляют на создание новых игр.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color w:val="000000"/>
              </w:rPr>
              <w:t>В своей работе мы используем нейропсихологические упражнения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(</w:t>
            </w:r>
            <w:proofErr w:type="spellStart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нейроигры</w:t>
            </w:r>
            <w:proofErr w:type="spellEnd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)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 − это эффективнейшая методика, позволяющая без использования медикаментов, помочь детям при нескольких видах нарушений. Хотелось бы поделиться некоторыми нейропсихологическими играми и приёмами, которые используем на индивидуальных и подгрупповых занятиях с детьми. Преимущества использования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нейроигр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: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игровая форма обучения; эмоциональная привлекательность; многофункциональность; автоматизация звуков в сочетании с двигательной активностью, а не статичное выполнение заданий только за столом; формирование стойкой мотивации и произвольных познавательных интересов; формирование партнерского взаимодействия между ребенком и педагогом; активизация работы с родителями, повышение компетентности родителей в коррекционно-развивающем процессе.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Такие упражнения полезны и детям и взрослым.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</w:t>
            </w:r>
            <w:proofErr w:type="spellStart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Нейротаблицы</w:t>
            </w:r>
            <w:proofErr w:type="spellEnd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 xml:space="preserve"> на внимание»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т. д. Можно полностью изменить изображения по Вашим педагогическим потребностям. Можно играть всей группой на скорость. Можно делиться на команды или научить детей играть вдвоем. Также в эту игру можно играть одному.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proofErr w:type="gramStart"/>
            <w:r w:rsidRPr="000C5626">
              <w:rPr>
                <w:rFonts w:ascii="Comic Sans MS" w:eastAsia="Times New Roman" w:hAnsi="Comic Sans MS" w:cs="Arial"/>
                <w:color w:val="000000"/>
              </w:rPr>
              <w:t>Игра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«Соедини точки»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, цель которой соединить верхние и нижние точки по пунктирным линиям от края к середине или наоборот, и усложненный вариант (без них, затем нужно называть получившиеся сочетание с автоматизируемым звуком.</w:t>
            </w:r>
            <w:proofErr w:type="gram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Например: У Савы кактус, а у Алисы сумка.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color w:val="000000"/>
              </w:rPr>
              <w:t>Для развития межполушарных связей полезно играть со специальными тренажерами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(межполушарными досками)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 Это приспособление сделано из дерева и выглядит как два зеркально отраженных лабиринта. Ребенку нужно передвигать два бегунка одновременно. 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color w:val="000000"/>
              </w:rPr>
              <w:t>Похожая игра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«Умные дорожки»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, где нужно также провести одновременно пальцами обеих рук по дорожке.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«Веселые пальчики»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 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«Найди такую же цифру»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Перед ребенком выкладываются цифры, вырезанные из разных материалов: дерева, ткани и других. Ему нужно найти одинаковые цифры, например, все 3.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«Узнай цифру на ощупь»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В мешочек складываются вырезанные цифры, ребенок в него запускает руку и ищет предложенную цифру.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«Составь фигуру»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Ребенку предлагают из нескольких частей сложить геометрическую фигуру: квадрат, круг, прямоугольник.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«Большие, маленькие, средние»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Перед ребенком раскладываются предметы разного размера, и предлагают ему на три кучки разложить их по размеру.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Зеркальное рисование.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Ребёнку даётся рисунок в перевёрнутом виде. Рисунок может быть любой, разного уровня сложности, в зависимости от возраста ребёнка. Желательно, чтобы присутствовало много мелких деталей. Ребёнку нужно внимательно посмотреть на рисунок и нарисовать такой же, но не перевёрнутый.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color w:val="000000"/>
              </w:rPr>
              <w:t xml:space="preserve">Еще в своей работе используем </w:t>
            </w:r>
            <w:proofErr w:type="spellStart"/>
            <w:r w:rsidRPr="000C5626">
              <w:rPr>
                <w:rFonts w:ascii="Comic Sans MS" w:eastAsia="Times New Roman" w:hAnsi="Comic Sans MS" w:cs="Arial"/>
                <w:color w:val="000000"/>
              </w:rPr>
              <w:t>кинезиологические</w:t>
            </w:r>
            <w:proofErr w:type="spellEnd"/>
            <w:r w:rsidRPr="000C5626">
              <w:rPr>
                <w:rFonts w:ascii="Comic Sans MS" w:eastAsia="Times New Roman" w:hAnsi="Comic Sans MS" w:cs="Arial"/>
                <w:color w:val="000000"/>
              </w:rPr>
              <w:t xml:space="preserve"> упражнения. </w:t>
            </w:r>
            <w:proofErr w:type="gramStart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</w:t>
            </w:r>
            <w:proofErr w:type="spellStart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Кинезиологические</w:t>
            </w:r>
            <w:proofErr w:type="spellEnd"/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 упражнения направлены на развитие общей двигательной координации, формирование крупных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содружественных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движений двумя руками и ногами, развитие координации рук и ног, развитие крупной моторики, развитие межполушарных связей в упражнениях по развитию мелкой моторики рук, одновременное использование речи и движений.</w:t>
            </w:r>
            <w:proofErr w:type="gramEnd"/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«Ухо – нос»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, где ребенок левой рукой держится за кончик носа, а правой – за мочку уха. По хлопку ребенок меняет положения рук. Выполнять это </w:t>
            </w:r>
            <w:proofErr w:type="gram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упражнение</w:t>
            </w:r>
            <w:proofErr w:type="gram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нужно стоя на балансировочной доске.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«Цветочек»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proofErr w:type="gramStart"/>
            <w:r w:rsidRPr="000C5626">
              <w:rPr>
                <w:rFonts w:ascii="Comic Sans MS" w:eastAsia="Times New Roman" w:hAnsi="Comic Sans MS" w:cs="Arial"/>
                <w:color w:val="000000"/>
              </w:rPr>
              <w:t>Сложить пальцы руки в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«цветок»</w:t>
            </w:r>
            <w:r w:rsidRPr="000C5626">
              <w:rPr>
                <w:rFonts w:ascii="Comic Sans MS" w:eastAsia="Times New Roman" w:hAnsi="Comic Sans MS" w:cs="Arial"/>
                <w:color w:val="000000"/>
              </w:rPr>
              <w:t>, попеременно опускать по 2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«лепестка»</w:t>
            </w: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 (пальцы руки, чередуя лепестки.</w:t>
            </w:r>
            <w:proofErr w:type="gram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</w:t>
            </w:r>
            <w:proofErr w:type="gram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Усложнить</w:t>
            </w:r>
            <w:proofErr w:type="gram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одновременно выполняя обеими руками синхронно.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«Коза-корова»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color w:val="000000"/>
              </w:rPr>
              <w:t>Попеременно менять положение пальцев обоих рук с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«козы»</w:t>
            </w:r>
            <w:r w:rsidRPr="000C5626">
              <w:rPr>
                <w:rFonts w:ascii="Comic Sans MS" w:eastAsia="Times New Roman" w:hAnsi="Comic Sans MS" w:cs="Arial"/>
                <w:color w:val="000000"/>
              </w:rPr>
              <w:t>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(указательный и средний палец не согнуты в кулак)</w:t>
            </w:r>
            <w:r w:rsidRPr="000C5626">
              <w:rPr>
                <w:rFonts w:ascii="Comic Sans MS" w:eastAsia="Times New Roman" w:hAnsi="Comic Sans MS" w:cs="Arial"/>
                <w:color w:val="000000"/>
              </w:rPr>
              <w:t> на </w:t>
            </w: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«корову»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«Молчу — шепчу — кричу»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i/>
                <w:iCs/>
                <w:color w:val="000000"/>
              </w:rPr>
              <w:t>«Прикосновения»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Для игры потребуются предметы, сделанные из различных материалов: стекла, дерева, меха и т. д. Их следует положить на стол возле ребенка, завязать ему глаза. Предложить определить, что именно за предмет у него в руках.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Основоположник отечественной нейропсихологии Александр Романович </w:t>
            </w:r>
            <w:proofErr w:type="spellStart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Лурия</w:t>
            </w:r>
            <w:proofErr w:type="spellEnd"/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 xml:space="preserve"> отмечал, что высшие психические функции возникают на основе относительно элементарных моторных и сенсорных процессов.</w:t>
            </w:r>
          </w:p>
          <w:p w:rsidR="000C5626" w:rsidRPr="000C5626" w:rsidRDefault="000C5626" w:rsidP="000C5626">
            <w:pPr>
              <w:pBdr>
                <w:bottom w:val="single" w:sz="6" w:space="0" w:color="D6DDB9"/>
              </w:pBdr>
              <w:spacing w:before="120" w:after="120" w:line="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color w:val="4F81BD"/>
                <w:sz w:val="26"/>
                <w:szCs w:val="26"/>
              </w:rPr>
            </w:pPr>
            <w:r w:rsidRPr="000C5626">
              <w:rPr>
                <w:rFonts w:ascii="Comic Sans MS" w:eastAsia="Times New Roman" w:hAnsi="Comic Sans MS" w:cs="Arial"/>
                <w:b/>
                <w:bCs/>
                <w:color w:val="000000"/>
              </w:rPr>
              <w:t>Например,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</w:t>
            </w:r>
          </w:p>
        </w:tc>
      </w:tr>
      <w:tr w:rsidR="000C5626" w:rsidRPr="000C5626" w:rsidTr="000C5626">
        <w:tc>
          <w:tcPr>
            <w:tcW w:w="1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626" w:rsidRPr="000C5626" w:rsidRDefault="000C5626" w:rsidP="000C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4A08C2" w:rsidRDefault="004A08C2"/>
    <w:sectPr w:rsidR="004A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C5626"/>
    <w:rsid w:val="000C5626"/>
    <w:rsid w:val="004A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6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0C5626"/>
  </w:style>
  <w:style w:type="character" w:customStyle="1" w:styleId="c8">
    <w:name w:val="c8"/>
    <w:basedOn w:val="a0"/>
    <w:rsid w:val="000C5626"/>
  </w:style>
  <w:style w:type="character" w:customStyle="1" w:styleId="c1">
    <w:name w:val="c1"/>
    <w:basedOn w:val="a0"/>
    <w:rsid w:val="000C5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2022-01-19T19:08:00Z</dcterms:created>
  <dcterms:modified xsi:type="dcterms:W3CDTF">2022-01-19T19:10:00Z</dcterms:modified>
</cp:coreProperties>
</file>