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2" w:rsidRDefault="006040E9" w:rsidP="0060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E9">
        <w:rPr>
          <w:rFonts w:ascii="Times New Roman" w:hAnsi="Times New Roman" w:cs="Times New Roman"/>
          <w:b/>
          <w:sz w:val="28"/>
          <w:szCs w:val="28"/>
        </w:rPr>
        <w:t>Игровые творческие задания для развития интереса в</w:t>
      </w:r>
      <w:r w:rsidR="008A329F">
        <w:rPr>
          <w:rFonts w:ascii="Times New Roman" w:hAnsi="Times New Roman" w:cs="Times New Roman"/>
          <w:b/>
          <w:sz w:val="28"/>
          <w:szCs w:val="28"/>
        </w:rPr>
        <w:t xml:space="preserve"> учебный процесс</w:t>
      </w:r>
      <w:r w:rsidRPr="006040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3F0" w:rsidRPr="00AD1171" w:rsidRDefault="00B823F0" w:rsidP="00B823F0">
      <w:pPr>
        <w:spacing w:after="0"/>
        <w:ind w:right="141"/>
        <w:jc w:val="right"/>
        <w:rPr>
          <w:rFonts w:asciiTheme="majorBidi" w:hAnsiTheme="majorBidi" w:cstheme="majorBidi"/>
          <w:sz w:val="28"/>
          <w:szCs w:val="28"/>
        </w:rPr>
      </w:pPr>
      <w:r w:rsidRPr="00AD1171">
        <w:rPr>
          <w:rFonts w:asciiTheme="majorBidi" w:hAnsiTheme="majorBidi" w:cstheme="majorBidi"/>
          <w:sz w:val="28"/>
          <w:szCs w:val="28"/>
        </w:rPr>
        <w:t>Ортоюкова Л.М.</w:t>
      </w:r>
    </w:p>
    <w:p w:rsidR="00B823F0" w:rsidRPr="00AD1171" w:rsidRDefault="00B823F0" w:rsidP="00B823F0">
      <w:pPr>
        <w:spacing w:after="0"/>
        <w:ind w:right="141"/>
        <w:jc w:val="right"/>
        <w:rPr>
          <w:rFonts w:asciiTheme="majorBidi" w:hAnsiTheme="majorBidi" w:cstheme="majorBidi"/>
          <w:sz w:val="28"/>
          <w:szCs w:val="28"/>
        </w:rPr>
      </w:pPr>
      <w:r w:rsidRPr="00AD1171">
        <w:rPr>
          <w:rFonts w:asciiTheme="majorBidi" w:hAnsiTheme="majorBidi" w:cstheme="majorBidi"/>
          <w:sz w:val="28"/>
          <w:szCs w:val="28"/>
        </w:rPr>
        <w:t>студентка педагогического института</w:t>
      </w:r>
    </w:p>
    <w:p w:rsidR="00B823F0" w:rsidRPr="00B823F0" w:rsidRDefault="00B823F0" w:rsidP="00B823F0">
      <w:pPr>
        <w:spacing w:after="0"/>
        <w:ind w:right="141"/>
        <w:jc w:val="right"/>
        <w:rPr>
          <w:rFonts w:asciiTheme="majorBidi" w:hAnsiTheme="majorBidi" w:cstheme="majorBidi"/>
          <w:sz w:val="28"/>
          <w:szCs w:val="28"/>
        </w:rPr>
      </w:pPr>
      <w:r w:rsidRPr="00AD1171">
        <w:rPr>
          <w:rFonts w:asciiTheme="majorBidi" w:hAnsiTheme="majorBidi" w:cstheme="majorBidi"/>
          <w:sz w:val="28"/>
          <w:szCs w:val="28"/>
        </w:rPr>
        <w:t xml:space="preserve">ФГАОУ ВО «СВФУ им. М.К. Аммосова» </w:t>
      </w:r>
    </w:p>
    <w:p w:rsidR="00B823F0" w:rsidRDefault="006040E9" w:rsidP="003D293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23F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B82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анализируется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диагностика</w:t>
      </w:r>
      <w:r w:rsid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критерии уровня развития воображения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и мышления,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содержание организации работы </w:t>
      </w:r>
      <w:r w:rsid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детей.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понятие «</w:t>
      </w:r>
      <w:r w:rsid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игровая технология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особенности развития </w:t>
      </w:r>
      <w:r w:rsid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воображения и творческого мышления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школьного возраста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материал будет интересен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начальных классов</w:t>
      </w:r>
      <w:r w:rsidR="00B823F0" w:rsidRPr="00B823F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p w:rsidR="006040E9" w:rsidRDefault="006040E9" w:rsidP="003D29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3F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B82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3F0" w:rsidRPr="00B823F0">
        <w:rPr>
          <w:rFonts w:ascii="Times New Roman" w:hAnsi="Times New Roman" w:cs="Times New Roman"/>
          <w:sz w:val="28"/>
          <w:szCs w:val="28"/>
        </w:rPr>
        <w:t>игровые творческие задания, технология,</w:t>
      </w:r>
      <w:r w:rsidR="003D293A">
        <w:rPr>
          <w:rFonts w:ascii="Times New Roman" w:hAnsi="Times New Roman" w:cs="Times New Roman"/>
          <w:sz w:val="28"/>
          <w:szCs w:val="28"/>
        </w:rPr>
        <w:t xml:space="preserve"> творческое мышление и воображение.</w:t>
      </w:r>
    </w:p>
    <w:p w:rsidR="003D293A" w:rsidRPr="0070031C" w:rsidRDefault="003D293A" w:rsidP="003D29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3A" w:rsidRPr="003D293A" w:rsidRDefault="003D293A" w:rsidP="003D293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93A">
        <w:rPr>
          <w:rFonts w:ascii="Times New Roman" w:hAnsi="Times New Roman" w:cs="Times New Roman"/>
          <w:b/>
          <w:sz w:val="28"/>
          <w:szCs w:val="28"/>
          <w:lang w:val="en-US"/>
        </w:rPr>
        <w:t>Game creative tasks for the development of interest in the learning process</w:t>
      </w:r>
    </w:p>
    <w:p w:rsidR="003D293A" w:rsidRDefault="003D293A" w:rsidP="003D29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293A">
        <w:rPr>
          <w:rFonts w:ascii="Times New Roman" w:hAnsi="Times New Roman" w:cs="Times New Roman"/>
          <w:sz w:val="28"/>
          <w:szCs w:val="28"/>
          <w:lang w:val="en-US"/>
        </w:rPr>
        <w:t>Ortoyukova</w:t>
      </w:r>
      <w:proofErr w:type="spellEnd"/>
      <w:r w:rsidRPr="003D293A">
        <w:rPr>
          <w:rFonts w:ascii="Times New Roman" w:hAnsi="Times New Roman" w:cs="Times New Roman"/>
          <w:sz w:val="28"/>
          <w:szCs w:val="28"/>
          <w:lang w:val="en-US"/>
        </w:rPr>
        <w:t xml:space="preserve"> L.M.</w:t>
      </w:r>
    </w:p>
    <w:p w:rsidR="003D293A" w:rsidRDefault="003D293A" w:rsidP="003D29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D293A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3D293A">
        <w:rPr>
          <w:rFonts w:ascii="Times New Roman" w:hAnsi="Times New Roman" w:cs="Times New Roman"/>
          <w:sz w:val="28"/>
          <w:szCs w:val="28"/>
          <w:lang w:val="en-US"/>
        </w:rPr>
        <w:t xml:space="preserve"> the article analyzes the diagnosis, the criteria of the level of development of imagination and thinking, the content of the organization of work of children. The concept of "game technology</w:t>
      </w:r>
      <w:proofErr w:type="gramStart"/>
      <w:r w:rsidRPr="003D293A">
        <w:rPr>
          <w:rFonts w:ascii="Times New Roman" w:hAnsi="Times New Roman" w:cs="Times New Roman"/>
          <w:sz w:val="28"/>
          <w:szCs w:val="28"/>
          <w:lang w:val="en-US"/>
        </w:rPr>
        <w:t>",</w:t>
      </w:r>
      <w:proofErr w:type="gramEnd"/>
      <w:r w:rsidRPr="003D293A">
        <w:rPr>
          <w:rFonts w:ascii="Times New Roman" w:hAnsi="Times New Roman" w:cs="Times New Roman"/>
          <w:sz w:val="28"/>
          <w:szCs w:val="28"/>
          <w:lang w:val="en-US"/>
        </w:rPr>
        <w:t xml:space="preserve"> features of development of creative imagination and creative thinking of children of primary school age is considered. This material will be of interest to primary scho</w:t>
      </w:r>
      <w:r>
        <w:rPr>
          <w:rFonts w:ascii="Times New Roman" w:hAnsi="Times New Roman" w:cs="Times New Roman"/>
          <w:sz w:val="28"/>
          <w:szCs w:val="28"/>
          <w:lang w:val="en-US"/>
        </w:rPr>
        <w:t>ol teachers.</w:t>
      </w:r>
    </w:p>
    <w:p w:rsidR="003D293A" w:rsidRPr="003D293A" w:rsidRDefault="003D293A" w:rsidP="003D29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D293A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3D293A">
        <w:rPr>
          <w:rFonts w:ascii="Times New Roman" w:hAnsi="Times New Roman" w:cs="Times New Roman"/>
          <w:sz w:val="28"/>
          <w:szCs w:val="28"/>
          <w:lang w:val="en-US"/>
        </w:rPr>
        <w:t xml:space="preserve"> game creative tasks, technology, creative thinking and imagination</w:t>
      </w:r>
    </w:p>
    <w:p w:rsidR="006040E9" w:rsidRPr="001C0BBD" w:rsidRDefault="006040E9" w:rsidP="006040E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BBD">
        <w:rPr>
          <w:rFonts w:ascii="Times New Roman" w:hAnsi="Times New Roman" w:cs="Times New Roman"/>
          <w:sz w:val="28"/>
          <w:szCs w:val="28"/>
        </w:rPr>
        <w:t xml:space="preserve">Игровые </w:t>
      </w:r>
      <w:r>
        <w:rPr>
          <w:rFonts w:ascii="Times New Roman" w:hAnsi="Times New Roman" w:cs="Times New Roman"/>
          <w:sz w:val="28"/>
          <w:szCs w:val="28"/>
        </w:rPr>
        <w:t>творческие задания</w:t>
      </w:r>
      <w:r w:rsidRPr="001C0BBD">
        <w:rPr>
          <w:rFonts w:ascii="Times New Roman" w:hAnsi="Times New Roman" w:cs="Times New Roman"/>
          <w:sz w:val="28"/>
          <w:szCs w:val="28"/>
        </w:rPr>
        <w:t xml:space="preserve"> являются одной из у</w:t>
      </w:r>
      <w:r>
        <w:rPr>
          <w:rFonts w:ascii="Times New Roman" w:hAnsi="Times New Roman" w:cs="Times New Roman"/>
          <w:sz w:val="28"/>
          <w:szCs w:val="28"/>
        </w:rPr>
        <w:t>никальных форм обучения, которые позволяю</w:t>
      </w:r>
      <w:r w:rsidRPr="001C0BBD">
        <w:rPr>
          <w:rFonts w:ascii="Times New Roman" w:hAnsi="Times New Roman" w:cs="Times New Roman"/>
          <w:sz w:val="28"/>
          <w:szCs w:val="28"/>
        </w:rPr>
        <w:t xml:space="preserve">т сделать интересными и увлекательными не только работу учащихся на творческо-поисковом уровне, но и будничные </w:t>
      </w:r>
      <w:r>
        <w:rPr>
          <w:rFonts w:ascii="Times New Roman" w:hAnsi="Times New Roman" w:cs="Times New Roman"/>
          <w:sz w:val="28"/>
          <w:szCs w:val="28"/>
        </w:rPr>
        <w:t xml:space="preserve">уроки учителя </w:t>
      </w:r>
      <w:r w:rsidRPr="001C0B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изучению предмета</w:t>
      </w:r>
      <w:r w:rsidRPr="001C0BBD">
        <w:rPr>
          <w:rFonts w:ascii="Times New Roman" w:hAnsi="Times New Roman" w:cs="Times New Roman"/>
          <w:sz w:val="28"/>
          <w:szCs w:val="28"/>
        </w:rPr>
        <w:t xml:space="preserve">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</w:t>
      </w:r>
      <w:r>
        <w:rPr>
          <w:rFonts w:ascii="Times New Roman" w:hAnsi="Times New Roman" w:cs="Times New Roman"/>
          <w:sz w:val="28"/>
          <w:szCs w:val="28"/>
        </w:rPr>
        <w:t>эмоциональность игрового действия</w:t>
      </w:r>
      <w:r w:rsidRPr="001C0BBD">
        <w:rPr>
          <w:rFonts w:ascii="Times New Roman" w:hAnsi="Times New Roman" w:cs="Times New Roman"/>
          <w:sz w:val="28"/>
          <w:szCs w:val="28"/>
        </w:rPr>
        <w:t xml:space="preserve"> активизирует вс</w:t>
      </w:r>
      <w:r>
        <w:rPr>
          <w:rFonts w:ascii="Times New Roman" w:hAnsi="Times New Roman" w:cs="Times New Roman"/>
          <w:sz w:val="28"/>
          <w:szCs w:val="28"/>
        </w:rPr>
        <w:t xml:space="preserve">е психические процессы </w:t>
      </w:r>
      <w:r w:rsidRPr="001C0BBD">
        <w:rPr>
          <w:rFonts w:ascii="Times New Roman" w:hAnsi="Times New Roman" w:cs="Times New Roman"/>
          <w:sz w:val="28"/>
          <w:szCs w:val="28"/>
        </w:rPr>
        <w:t xml:space="preserve"> </w:t>
      </w:r>
      <w:r w:rsidRPr="001C0BBD">
        <w:rPr>
          <w:rFonts w:ascii="Times New Roman" w:hAnsi="Times New Roman" w:cs="Times New Roman"/>
          <w:sz w:val="28"/>
          <w:szCs w:val="28"/>
        </w:rPr>
        <w:lastRenderedPageBreak/>
        <w:t>ребенка. Др</w:t>
      </w:r>
      <w:r>
        <w:rPr>
          <w:rFonts w:ascii="Times New Roman" w:hAnsi="Times New Roman" w:cs="Times New Roman"/>
          <w:sz w:val="28"/>
          <w:szCs w:val="28"/>
        </w:rPr>
        <w:t>угой положительной стороной игровых творческих заданий являе</w:t>
      </w:r>
      <w:r w:rsidRPr="001C0BBD">
        <w:rPr>
          <w:rFonts w:ascii="Times New Roman" w:hAnsi="Times New Roman" w:cs="Times New Roman"/>
          <w:sz w:val="28"/>
          <w:szCs w:val="28"/>
        </w:rPr>
        <w:t>тся то, что она способствует использова</w:t>
      </w:r>
      <w:r>
        <w:rPr>
          <w:rFonts w:ascii="Times New Roman" w:hAnsi="Times New Roman" w:cs="Times New Roman"/>
          <w:sz w:val="28"/>
          <w:szCs w:val="28"/>
        </w:rPr>
        <w:t>нию знаний в новой ситуации, т.е</w:t>
      </w:r>
      <w:r w:rsidRPr="001C0BBD">
        <w:rPr>
          <w:rFonts w:ascii="Times New Roman" w:hAnsi="Times New Roman" w:cs="Times New Roman"/>
          <w:sz w:val="28"/>
          <w:szCs w:val="28"/>
        </w:rPr>
        <w:t>. усваиваемый учащимися материал проходит через своеобразную практику, вносит разнообразие и интерес в учебный процесс.</w:t>
      </w:r>
      <w:r w:rsidRPr="008E2814">
        <w:t xml:space="preserve"> </w:t>
      </w:r>
    </w:p>
    <w:p w:rsidR="006040E9" w:rsidRDefault="006040E9" w:rsidP="003D293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BBD">
        <w:rPr>
          <w:rFonts w:ascii="Times New Roman" w:hAnsi="Times New Roman" w:cs="Times New Roman"/>
          <w:sz w:val="28"/>
          <w:szCs w:val="28"/>
        </w:rPr>
        <w:t>Актуальность игры в настоящее время повышается и из-за перенасыщенности современного школьника информацией. Одной из форм обучения, развивающей подобные уме</w:t>
      </w:r>
      <w:r>
        <w:rPr>
          <w:rFonts w:ascii="Times New Roman" w:hAnsi="Times New Roman" w:cs="Times New Roman"/>
          <w:sz w:val="28"/>
          <w:szCs w:val="28"/>
        </w:rPr>
        <w:t>ния, являются игровые творческие задания, способствующие</w:t>
      </w:r>
      <w:r w:rsidRPr="001C0BBD">
        <w:rPr>
          <w:rFonts w:ascii="Times New Roman" w:hAnsi="Times New Roman" w:cs="Times New Roman"/>
          <w:sz w:val="28"/>
          <w:szCs w:val="28"/>
        </w:rPr>
        <w:t xml:space="preserve"> практическому использов</w:t>
      </w:r>
      <w:r>
        <w:rPr>
          <w:rFonts w:ascii="Times New Roman" w:hAnsi="Times New Roman" w:cs="Times New Roman"/>
          <w:sz w:val="28"/>
          <w:szCs w:val="28"/>
        </w:rPr>
        <w:t>анию знаний, полученных на уроке.</w:t>
      </w:r>
    </w:p>
    <w:p w:rsidR="006040E9" w:rsidRDefault="006040E9" w:rsidP="003D293A">
      <w:pPr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определению Г. К. Селевко</w:t>
      </w:r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игровая технология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040E9" w:rsidRPr="00FD6805" w:rsidRDefault="006040E9" w:rsidP="006040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Игровые технологии имеют различную направленность:</w:t>
      </w:r>
    </w:p>
    <w:p w:rsidR="006040E9" w:rsidRPr="00FD6805" w:rsidRDefault="006040E9" w:rsidP="006040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дидактические – формирование определённых умений и навыков, необходимых в практической деятельности;</w:t>
      </w:r>
      <w:proofErr w:type="gramEnd"/>
    </w:p>
    <w:p w:rsidR="006040E9" w:rsidRPr="00FD6805" w:rsidRDefault="006040E9" w:rsidP="006040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воспитывающие – воспитание самостоятельности, формирование определённых позиций, сотрудничества, коммуникабельности;</w:t>
      </w:r>
    </w:p>
    <w:p w:rsidR="006040E9" w:rsidRPr="00FD6805" w:rsidRDefault="006040E9" w:rsidP="006040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развивающие  –  развитие внимания, речи, мышления, рефлексии, мотивации учебной деятельности;</w:t>
      </w:r>
    </w:p>
    <w:p w:rsidR="006040E9" w:rsidRPr="00003A6C" w:rsidRDefault="006040E9" w:rsidP="006040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68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социализирующие – приобщение к нормам и ценностям общества; адаптация к условиям среды, саморегуляция.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[23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003A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]</w:t>
      </w:r>
    </w:p>
    <w:p w:rsidR="006040E9" w:rsidRDefault="006040E9" w:rsidP="006040E9">
      <w:pPr>
        <w:pStyle w:val="2"/>
        <w:shd w:val="clear" w:color="auto" w:fill="FFFFFF" w:themeFill="background1"/>
        <w:spacing w:before="0" w:beforeAutospacing="0" w:after="0" w:afterAutospacing="0" w:line="360" w:lineRule="auto"/>
        <w:ind w:right="113" w:firstLine="814"/>
        <w:jc w:val="both"/>
        <w:rPr>
          <w:b w:val="0"/>
          <w:bCs w:val="0"/>
          <w:sz w:val="28"/>
          <w:szCs w:val="28"/>
        </w:rPr>
      </w:pPr>
      <w:r w:rsidRPr="0004059E">
        <w:rPr>
          <w:b w:val="0"/>
          <w:bCs w:val="0"/>
          <w:sz w:val="28"/>
          <w:szCs w:val="28"/>
        </w:rPr>
        <w:t>Эксперим</w:t>
      </w:r>
      <w:r>
        <w:rPr>
          <w:b w:val="0"/>
          <w:bCs w:val="0"/>
          <w:sz w:val="28"/>
          <w:szCs w:val="28"/>
        </w:rPr>
        <w:t xml:space="preserve">ентальное исследование проводилось в три этапа, в 4 классах. В возрасте от 10 до 12 лет. </w:t>
      </w:r>
      <w:r w:rsidRPr="0004059E">
        <w:rPr>
          <w:b w:val="0"/>
          <w:bCs w:val="0"/>
          <w:sz w:val="28"/>
          <w:szCs w:val="28"/>
        </w:rPr>
        <w:t>Для решения данного исследования были использованы следующие методы:</w:t>
      </w:r>
      <w:r>
        <w:rPr>
          <w:b w:val="0"/>
          <w:bCs w:val="0"/>
          <w:sz w:val="28"/>
          <w:szCs w:val="28"/>
        </w:rPr>
        <w:t xml:space="preserve"> </w:t>
      </w:r>
    </w:p>
    <w:p w:rsidR="006040E9" w:rsidRPr="007F5F12" w:rsidRDefault="006040E9" w:rsidP="006040E9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5F12">
        <w:rPr>
          <w:rFonts w:ascii="Times New Roman" w:hAnsi="Times New Roman" w:cs="Times New Roman"/>
          <w:bCs/>
          <w:sz w:val="28"/>
          <w:szCs w:val="28"/>
          <w:lang w:eastAsia="ru-RU"/>
        </w:rPr>
        <w:t>Методика "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Наборщик</w:t>
      </w:r>
      <w:r w:rsidRPr="007F5F12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Куратова Я.В.;</w:t>
      </w:r>
    </w:p>
    <w:p w:rsidR="006040E9" w:rsidRDefault="006040E9" w:rsidP="006040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9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о несуществующем животном»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Дукаревич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40E9" w:rsidRPr="003D293A" w:rsidRDefault="006040E9" w:rsidP="006040E9">
      <w:pPr>
        <w:pStyle w:val="a3"/>
        <w:numPr>
          <w:ilvl w:val="0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F12">
        <w:rPr>
          <w:rFonts w:ascii="Times New Roman" w:hAnsi="Times New Roman" w:cs="Times New Roman"/>
          <w:sz w:val="28"/>
          <w:szCs w:val="28"/>
        </w:rPr>
        <w:t>Методика «</w:t>
      </w:r>
      <w:r>
        <w:rPr>
          <w:rFonts w:ascii="Times New Roman" w:hAnsi="Times New Roman" w:cs="Times New Roman"/>
          <w:sz w:val="28"/>
          <w:szCs w:val="28"/>
        </w:rPr>
        <w:t>Три слова</w:t>
      </w:r>
      <w:r w:rsidRPr="007F5F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Л.Ю. </w:t>
      </w:r>
      <w:r w:rsidR="003D293A">
        <w:rPr>
          <w:rFonts w:ascii="Times New Roman" w:hAnsi="Times New Roman" w:cs="Times New Roman"/>
          <w:sz w:val="28"/>
          <w:szCs w:val="28"/>
        </w:rPr>
        <w:t>Субботин</w:t>
      </w:r>
      <w:r w:rsidR="003D293A">
        <w:rPr>
          <w:rFonts w:ascii="Times New Roman" w:hAnsi="Times New Roman" w:cs="Times New Roman"/>
          <w:sz w:val="28"/>
          <w:szCs w:val="28"/>
          <w:lang w:val="sah-RU"/>
        </w:rPr>
        <w:t>а.</w:t>
      </w:r>
    </w:p>
    <w:p w:rsidR="003D293A" w:rsidRPr="003D293A" w:rsidRDefault="003D293A" w:rsidP="003D293A">
      <w:pPr>
        <w:suppressLineNumbers/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</w:p>
    <w:p w:rsidR="008A329F" w:rsidRDefault="008A329F" w:rsidP="008A329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Табл. 1 </w:t>
      </w:r>
      <w:r w:rsidRPr="005934DC">
        <w:rPr>
          <w:rFonts w:ascii="Times New Roman" w:hAnsi="Times New Roman" w:cs="Times New Roman"/>
          <w:sz w:val="28"/>
          <w:szCs w:val="28"/>
        </w:rPr>
        <w:t>Обобщенные резул</w:t>
      </w:r>
      <w:r>
        <w:rPr>
          <w:rFonts w:ascii="Times New Roman" w:hAnsi="Times New Roman" w:cs="Times New Roman"/>
          <w:sz w:val="28"/>
          <w:szCs w:val="28"/>
        </w:rPr>
        <w:t>ьтаты констатирующего эксперимента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276"/>
        <w:gridCol w:w="1276"/>
        <w:gridCol w:w="1417"/>
        <w:gridCol w:w="1276"/>
      </w:tblGrid>
      <w:tr w:rsidR="008A329F" w:rsidTr="00437A5E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Экспериментальная группа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группа</w:t>
            </w:r>
          </w:p>
        </w:tc>
      </w:tr>
      <w:tr w:rsidR="008A329F" w:rsidTr="00437A5E">
        <w:trPr>
          <w:trHeight w:val="481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8A329F" w:rsidTr="00437A5E">
        <w:trPr>
          <w:trHeight w:val="4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«Наборщик»</w:t>
            </w:r>
          </w:p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40%</w:t>
            </w:r>
          </w:p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</w:tr>
      <w:tr w:rsidR="008A329F" w:rsidTr="00437A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F2A51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 несуществующем животном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</w:tr>
      <w:tr w:rsidR="008A329F" w:rsidTr="00437A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«Три 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8A329F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8A329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8A329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1–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9F" w:rsidRDefault="008A329F" w:rsidP="008A329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4–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9F" w:rsidRDefault="008A329F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A329F" w:rsidRDefault="008A329F" w:rsidP="008A32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A329F">
        <w:rPr>
          <w:rFonts w:ascii="Times New Roman" w:eastAsia="Calibri" w:hAnsi="Times New Roman" w:cs="Times New Roman"/>
          <w:sz w:val="28"/>
          <w:szCs w:val="28"/>
        </w:rPr>
        <w:t>Таким образом, по результатам констатирующего эксперимента можно говорить о том, что учащиеся нуждаются в уроках, направленных на игровые творческие задания. Поэтому на формирующем эксперименте целесообразно провести уроки с использованием игровых творческих задани</w:t>
      </w:r>
      <w:r>
        <w:rPr>
          <w:rFonts w:ascii="Times New Roman" w:eastAsia="Calibri" w:hAnsi="Times New Roman" w:cs="Times New Roman"/>
          <w:sz w:val="28"/>
          <w:szCs w:val="28"/>
        </w:rPr>
        <w:t>й для развития интереса в учебный процесс</w:t>
      </w:r>
      <w:r w:rsidRPr="008A3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29F" w:rsidRDefault="008A329F" w:rsidP="008A3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5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 интереса в учебный процесс</w:t>
      </w:r>
      <w:r w:rsidRPr="009F2A51">
        <w:rPr>
          <w:rFonts w:ascii="Times New Roman" w:hAnsi="Times New Roman" w:cs="Times New Roman"/>
          <w:sz w:val="28"/>
          <w:szCs w:val="28"/>
        </w:rPr>
        <w:t xml:space="preserve"> у учеников 4  класса были проведены уроки с применением игровых</w:t>
      </w:r>
      <w:r>
        <w:rPr>
          <w:rFonts w:ascii="Times New Roman" w:hAnsi="Times New Roman" w:cs="Times New Roman"/>
          <w:sz w:val="28"/>
          <w:szCs w:val="28"/>
        </w:rPr>
        <w:t xml:space="preserve"> творческих задан</w:t>
      </w:r>
      <w:r w:rsidRPr="009F2A51">
        <w:rPr>
          <w:rFonts w:ascii="Times New Roman" w:hAnsi="Times New Roman" w:cs="Times New Roman"/>
          <w:sz w:val="28"/>
          <w:szCs w:val="28"/>
        </w:rPr>
        <w:t>ий. Уроки проведены с учетом того, что очень часто приходится наблюдать, что дети неактивны на уроке, их трудно заинтересовать. И даже при четко продуманной работе на уроке нередко можно увидеть равнодушные глаза детей, поэтому  важно адаптироваться и изменять подачу материала, чтобы каждый ребенок получил удовольствие от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89D" w:rsidRPr="009F2A51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констатирующего эксперимента (технологические карты уроков представлены в приложении) были получены результаты по каждому критерию.</w:t>
      </w:r>
    </w:p>
    <w:p w:rsidR="00ED189D" w:rsidRPr="009F2A51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критерий подробнее.</w:t>
      </w: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смекалки использовалась методика «Наборщик». На рисунке 1 и в таблице 2 представлены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методики 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(низкий,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дний, высокий). Мы видим, что 2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(40%) и 3 ученика (60%) 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на низком уровне, что говорит о том, что эти учащиеся с трудом включаются в 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творческую деятельность, ожидают давления со сторо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учителя, негативных оценок. </w:t>
      </w: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учеников (60%) и 2 учеников (40%) - на среднем уровне</w:t>
      </w:r>
      <w:r w:rsidRPr="009F2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представленных работах учеников видно, что учащиеся на низком уровне смогли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1-3 слова, а на среднем уровне – более 4-5 слов, на высоком уровне – более 6 слов.</w:t>
      </w:r>
    </w:p>
    <w:p w:rsidR="00ED189D" w:rsidRDefault="00ED189D" w:rsidP="00ED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1845"/>
        <w:gridCol w:w="2089"/>
      </w:tblGrid>
      <w:tr w:rsidR="00ED189D" w:rsidTr="00437A5E">
        <w:tc>
          <w:tcPr>
            <w:tcW w:w="1526" w:type="dxa"/>
            <w:vMerge w:val="restart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111" w:type="dxa"/>
            <w:gridSpan w:val="2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группа</w:t>
            </w:r>
          </w:p>
        </w:tc>
        <w:tc>
          <w:tcPr>
            <w:tcW w:w="3934" w:type="dxa"/>
            <w:gridSpan w:val="2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группа</w:t>
            </w:r>
          </w:p>
        </w:tc>
      </w:tr>
      <w:tr w:rsidR="00ED189D" w:rsidTr="00437A5E">
        <w:tc>
          <w:tcPr>
            <w:tcW w:w="1526" w:type="dxa"/>
            <w:vMerge/>
          </w:tcPr>
          <w:p w:rsidR="00ED189D" w:rsidRDefault="00ED189D" w:rsidP="00437A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D189D" w:rsidRDefault="00ED189D" w:rsidP="00437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268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5" w:type="dxa"/>
          </w:tcPr>
          <w:p w:rsidR="00ED189D" w:rsidRDefault="00ED189D" w:rsidP="00437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089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D189D" w:rsidTr="00437A5E">
        <w:tc>
          <w:tcPr>
            <w:tcW w:w="1526" w:type="dxa"/>
          </w:tcPr>
          <w:p w:rsidR="00ED189D" w:rsidRDefault="00ED189D" w:rsidP="00437A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43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5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9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D189D" w:rsidTr="00437A5E">
        <w:tc>
          <w:tcPr>
            <w:tcW w:w="1526" w:type="dxa"/>
          </w:tcPr>
          <w:p w:rsidR="00ED189D" w:rsidRDefault="00ED189D" w:rsidP="00437A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3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45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ED189D" w:rsidTr="00437A5E">
        <w:tc>
          <w:tcPr>
            <w:tcW w:w="1526" w:type="dxa"/>
          </w:tcPr>
          <w:p w:rsidR="00ED189D" w:rsidRDefault="00ED189D" w:rsidP="00437A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843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845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9" w:type="dxa"/>
          </w:tcPr>
          <w:p w:rsidR="00ED189D" w:rsidRDefault="00ED189D" w:rsidP="00437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</w:tbl>
    <w:p w:rsidR="00ED189D" w:rsidRPr="009F2A51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представлены работы учеников 4 класса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Рис.1. -низкий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CD4A2" wp14:editId="65163B78">
            <wp:extent cx="2717321" cy="1222794"/>
            <wp:effectExtent l="0" t="0" r="6985" b="0"/>
            <wp:docPr id="1" name="Рисунок 1" descr="C:\Users\пользователь\Desktop\20170326183839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0326183839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" t="26191" r="24149" b="16904"/>
                    <a:stretch/>
                  </pic:blipFill>
                  <pic:spPr bwMode="auto">
                    <a:xfrm>
                      <a:off x="0" y="0"/>
                      <a:ext cx="2721389" cy="12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Рис.2 - средн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444A9" wp14:editId="55FAC79B">
            <wp:extent cx="2793756" cy="1362974"/>
            <wp:effectExtent l="0" t="0" r="6985" b="8890"/>
            <wp:docPr id="2" name="Рисунок 2" descr="C:\Users\пользователь\Desktop\20170326184604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20170326184604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3" t="29048" r="39177"/>
                    <a:stretch/>
                  </pic:blipFill>
                  <pic:spPr bwMode="auto">
                    <a:xfrm>
                      <a:off x="0" y="0"/>
                      <a:ext cx="2793130" cy="136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89D" w:rsidRPr="00C177BC" w:rsidRDefault="00ED189D" w:rsidP="00ED1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C177B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 о несуществующем животном». </w:t>
      </w:r>
      <w:r w:rsidRPr="00C1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нами были взяты такие критерии оценки как оригинальность, эмоциональность, образность, сюжетность, словарный запас и т.п. С помощью этой методики </w:t>
      </w:r>
      <w:r w:rsidRPr="00C1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выяснили, что на низком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 находятся  2 детей (40%) и 1 ученик (20%), на среднем – 2 детей (40%) и 2 (40%), а на высоком уровне 1 ученик (20%) и 2 учеников (40%)</w:t>
      </w:r>
      <w:r w:rsidRPr="00C177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компонент у большинства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4 класса находится на среднем</w:t>
      </w:r>
      <w:r w:rsidRPr="00C1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что говорит о том, что учащиеся осознанно воспринимают задания, работают преимущественно самостоятельно, но предлагают недостаточно оригинальные пути решения. На решение творческого задания ребенок идет, если это задание его заинтересовало. 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заданием учащиеся справились лучше, оно было интереснее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них. 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это проявилось? В условиях задания не было создание рисунка, но некоторые ребята проявил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инициативу и не только рассказали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несуществующее животное, но еще и нарисовали его. Мы можем видеть, что рисунки разные, у кого-то яркие, чёткие, прорисованные, а у некоторых рисунки минимальны, схематичны.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творческого мышления, словарного запаса и логического мышл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мы использовали методику «Три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слова». При оценке данной методики мы использовали такие критерии как, оригинальность, осмысленность.</w:t>
      </w: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в данной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находятся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 уровне – 30%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это указывает на то, что учащиеся проявляют инициативность и самостоятельность принимаемых решений. У ребенка проявляется наблюдательность, сообразительность, воображение, высокая скорость мышления. Учащиеся создают что-то свое, новое, оригинально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непохожее ни на что другое. 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творческие задания 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может способствовать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школьника, при соблюдении следующих педагогических условий: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заданий на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89D" w:rsidRPr="00376C5F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мониторинг развития творческого воображения младшего школьника;</w:t>
      </w:r>
    </w:p>
    <w:p w:rsidR="00ED189D" w:rsidRDefault="00ED189D" w:rsidP="00ED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6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дифференцированный подход в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ED189D" w:rsidRDefault="00ED189D" w:rsidP="00ED18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E02">
        <w:rPr>
          <w:rFonts w:ascii="Times New Roman" w:hAnsi="Times New Roman" w:cs="Times New Roman"/>
          <w:sz w:val="28"/>
          <w:szCs w:val="28"/>
        </w:rPr>
        <w:lastRenderedPageBreak/>
        <w:t>После проведения формирующего эксперимента было проведено контрольное обследование детей экспериментальной и контрольной групп.</w:t>
      </w:r>
    </w:p>
    <w:p w:rsidR="00ED189D" w:rsidRDefault="00ED189D" w:rsidP="00ED18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E02">
        <w:rPr>
          <w:rFonts w:ascii="Times New Roman" w:hAnsi="Times New Roman" w:cs="Times New Roman"/>
          <w:sz w:val="28"/>
          <w:szCs w:val="28"/>
        </w:rPr>
        <w:t>Полученные данные показали, что уровень показателей  у детей экспериментальной и контрольной групп после проведения формирующих занятий стал различным. Уровень показателей у детей экспериментальной группы стал значительно выше, чем у детей контрольной группы, с которыми не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506E02">
        <w:rPr>
          <w:rFonts w:ascii="Times New Roman" w:hAnsi="Times New Roman" w:cs="Times New Roman"/>
          <w:sz w:val="28"/>
          <w:szCs w:val="28"/>
        </w:rPr>
        <w:t>.</w:t>
      </w:r>
    </w:p>
    <w:p w:rsidR="00ED189D" w:rsidRPr="00371C82" w:rsidRDefault="00ED189D" w:rsidP="00ED18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3</w:t>
      </w:r>
    </w:p>
    <w:p w:rsidR="00ED189D" w:rsidRPr="005934DC" w:rsidRDefault="00ED189D" w:rsidP="00ED189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4DC">
        <w:rPr>
          <w:rFonts w:ascii="Times New Roman" w:hAnsi="Times New Roman" w:cs="Times New Roman"/>
          <w:sz w:val="28"/>
          <w:szCs w:val="28"/>
        </w:rPr>
        <w:t>Обобщенные результаты контрольного эксперимента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276"/>
        <w:gridCol w:w="1417"/>
        <w:gridCol w:w="1276"/>
      </w:tblGrid>
      <w:tr w:rsidR="00ED189D" w:rsidTr="00437A5E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Экспериментальная группа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группа</w:t>
            </w:r>
          </w:p>
        </w:tc>
      </w:tr>
      <w:tr w:rsidR="00ED189D" w:rsidTr="00437A5E">
        <w:trPr>
          <w:trHeight w:val="48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ED189D" w:rsidTr="00437A5E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«Наборщик»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</w:tr>
      <w:tr w:rsidR="00ED189D" w:rsidTr="00437A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«Последовательность событий»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</w:tr>
      <w:tr w:rsidR="00ED189D" w:rsidTr="00437A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«Придумать сказку»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–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9D" w:rsidRDefault="00ED189D" w:rsidP="00437A5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40%</w:t>
            </w:r>
          </w:p>
        </w:tc>
      </w:tr>
    </w:tbl>
    <w:p w:rsidR="00ED189D" w:rsidRDefault="00ED189D" w:rsidP="00ED18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81">
        <w:rPr>
          <w:rFonts w:ascii="Times New Roman" w:hAnsi="Times New Roman" w:cs="Times New Roman"/>
          <w:sz w:val="28"/>
          <w:szCs w:val="28"/>
        </w:rPr>
        <w:t>Как видно из приведенных результатов, можно сделать вывод о значительном улучшении познавательных процессов у детей. Увеличилось число детей, показывающих высо</w:t>
      </w:r>
      <w:r>
        <w:rPr>
          <w:rFonts w:ascii="Times New Roman" w:hAnsi="Times New Roman" w:cs="Times New Roman"/>
          <w:sz w:val="28"/>
          <w:szCs w:val="28"/>
        </w:rPr>
        <w:t>кий уровень выполнения заданий. Р</w:t>
      </w:r>
      <w:r w:rsidRPr="00AC5281">
        <w:rPr>
          <w:rFonts w:ascii="Times New Roman" w:hAnsi="Times New Roman" w:cs="Times New Roman"/>
          <w:sz w:val="28"/>
          <w:szCs w:val="28"/>
        </w:rPr>
        <w:t xml:space="preserve">езультаты итоговой работы показал следующее: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81">
        <w:rPr>
          <w:rFonts w:ascii="Times New Roman" w:hAnsi="Times New Roman" w:cs="Times New Roman"/>
          <w:sz w:val="28"/>
          <w:szCs w:val="28"/>
        </w:rPr>
        <w:t xml:space="preserve">проявившие вначале практической работы низкий уровень развития по всем четырём методикам, после формирующего эксперимента показали высокий уровень. </w:t>
      </w:r>
    </w:p>
    <w:p w:rsidR="00ED189D" w:rsidRDefault="00ED189D" w:rsidP="00ED1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Таким образом, игровые творческие задания для развития интереса в учебный процесс </w:t>
      </w:r>
      <w:r w:rsidR="00E02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сделать следующие выводы:</w:t>
      </w:r>
    </w:p>
    <w:p w:rsidR="00ED189D" w:rsidRDefault="00ED189D" w:rsidP="00ED189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Arabic Typesetting" w:eastAsia="Times New Roman" w:hAnsi="Arabic Typesetting" w:cs="Arabic Typesetting"/>
          <w:noProof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 многих детей появилось положительное отношение к игровым творческим заданиям</w:t>
      </w:r>
    </w:p>
    <w:p w:rsidR="00ED189D" w:rsidRDefault="00ED189D" w:rsidP="00ED189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 детей изменилось отношение к собственным ошибкам и затруднениям, возникающим в ходе творческой деятельности. Более ярко стала проявляться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способность к фантазированию и воображению выполнении работтворческого характера.</w:t>
      </w:r>
    </w:p>
    <w:p w:rsidR="00ED189D" w:rsidRDefault="00ED189D" w:rsidP="00ED1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Результатом работы считаем: повышение качества знани</w:t>
      </w:r>
      <w:r w:rsidR="00E02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и интерес в учебный процесс на уроках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стремление к творческому решению поставленных задач, рост учебной мотивации, создание благоприятного психологического климата в классе и крепкого дружного коллектива.</w:t>
      </w:r>
    </w:p>
    <w:p w:rsidR="00E026BA" w:rsidRDefault="00E026BA" w:rsidP="00ED1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026BA" w:rsidRPr="00B823F0" w:rsidRDefault="00E026BA" w:rsidP="00E026B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823F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Использованная литература:</w:t>
      </w:r>
    </w:p>
    <w:p w:rsidR="00E026BA" w:rsidRDefault="00E026BA" w:rsidP="00E026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51">
        <w:rPr>
          <w:rFonts w:ascii="Times New Roman" w:hAnsi="Times New Roman" w:cs="Times New Roman"/>
          <w:sz w:val="28"/>
          <w:szCs w:val="28"/>
        </w:rPr>
        <w:t>Выготский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A51">
        <w:rPr>
          <w:rFonts w:ascii="Times New Roman" w:hAnsi="Times New Roman" w:cs="Times New Roman"/>
          <w:sz w:val="28"/>
          <w:szCs w:val="28"/>
        </w:rPr>
        <w:t xml:space="preserve"> Л.С. Психология развития че</w:t>
      </w:r>
      <w:r>
        <w:rPr>
          <w:rFonts w:ascii="Times New Roman" w:hAnsi="Times New Roman" w:cs="Times New Roman"/>
          <w:sz w:val="28"/>
          <w:szCs w:val="28"/>
        </w:rPr>
        <w:t>ловека  - М.: Смысл: Эксмо, 2004</w:t>
      </w:r>
      <w:r w:rsidRPr="009F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514с.</w:t>
      </w:r>
      <w:r w:rsidRPr="009F2A5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823F0" w:rsidRDefault="00E026BA" w:rsidP="00E026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6BA">
        <w:rPr>
          <w:rFonts w:ascii="Times New Roman" w:hAnsi="Times New Roman" w:cs="Times New Roman"/>
          <w:sz w:val="28"/>
          <w:szCs w:val="28"/>
        </w:rPr>
        <w:t>Краснощ</w:t>
      </w:r>
      <w:r w:rsidRPr="00E026BA">
        <w:rPr>
          <w:rFonts w:ascii="Times New Roman" w:hAnsi="Times New Roman" w:cs="Times New Roman"/>
          <w:sz w:val="28"/>
          <w:szCs w:val="28"/>
          <w:lang w:val="sah-RU"/>
        </w:rPr>
        <w:t>е</w:t>
      </w:r>
      <w:r w:rsidRPr="00E026BA">
        <w:rPr>
          <w:rFonts w:ascii="Times New Roman" w:hAnsi="Times New Roman" w:cs="Times New Roman"/>
          <w:sz w:val="28"/>
          <w:szCs w:val="28"/>
        </w:rPr>
        <w:t>кова, Н.В. Сюжетно-ролевые игры для детей школьного возраста / Н.В.Краснощекова. Изд. 6-е. Ростов и</w:t>
      </w:r>
      <w:r w:rsidRPr="00E026BA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E026BA">
        <w:rPr>
          <w:rFonts w:ascii="Times New Roman" w:hAnsi="Times New Roman" w:cs="Times New Roman"/>
          <w:sz w:val="28"/>
          <w:szCs w:val="28"/>
        </w:rPr>
        <w:t>Д.: Феникс. 2010. - 256с.</w:t>
      </w:r>
    </w:p>
    <w:p w:rsidR="00B823F0" w:rsidRDefault="00E026BA" w:rsidP="00E026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51">
        <w:rPr>
          <w:rFonts w:ascii="Times New Roman" w:hAnsi="Times New Roman" w:cs="Times New Roman"/>
          <w:sz w:val="28"/>
          <w:szCs w:val="28"/>
        </w:rPr>
        <w:t>Недоспасова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A51">
        <w:rPr>
          <w:rFonts w:ascii="Times New Roman" w:hAnsi="Times New Roman" w:cs="Times New Roman"/>
          <w:sz w:val="28"/>
          <w:szCs w:val="28"/>
        </w:rPr>
        <w:t xml:space="preserve"> В.А. Растем, играя: младший школьный возраст: Пособие для учителей и родителей / В.А.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9F2A51">
        <w:rPr>
          <w:rFonts w:ascii="Times New Roman" w:hAnsi="Times New Roman" w:cs="Times New Roman"/>
          <w:sz w:val="28"/>
          <w:szCs w:val="28"/>
        </w:rPr>
        <w:t xml:space="preserve">Недоспасова - М.: Просвещение, 2004. </w:t>
      </w:r>
      <w:r>
        <w:rPr>
          <w:rFonts w:ascii="Times New Roman" w:hAnsi="Times New Roman" w:cs="Times New Roman"/>
          <w:sz w:val="28"/>
          <w:szCs w:val="28"/>
        </w:rPr>
        <w:t xml:space="preserve"> - 94</w:t>
      </w:r>
      <w:r w:rsidRPr="009F2A51">
        <w:rPr>
          <w:rFonts w:ascii="Times New Roman" w:hAnsi="Times New Roman" w:cs="Times New Roman"/>
          <w:sz w:val="28"/>
          <w:szCs w:val="28"/>
        </w:rPr>
        <w:t>с.</w:t>
      </w:r>
      <w:r w:rsidR="00B823F0" w:rsidRPr="00B8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BA" w:rsidRDefault="00B823F0" w:rsidP="00E026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Н.Б. Нестандартные уроки и творческие занятия. М.: Дрофа, 2003. – 139с.</w:t>
      </w:r>
    </w:p>
    <w:p w:rsidR="00B823F0" w:rsidRDefault="00B823F0" w:rsidP="00E026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Селевко, Г.К. Современные образовательные технологии – Москва, 1998. – 275с.</w:t>
      </w:r>
    </w:p>
    <w:p w:rsidR="00B823F0" w:rsidRPr="00B823F0" w:rsidRDefault="00B823F0" w:rsidP="00B823F0">
      <w:pPr>
        <w:spacing w:after="0" w:line="36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23F0">
        <w:rPr>
          <w:rFonts w:ascii="Times New Roman" w:hAnsi="Times New Roman" w:cs="Times New Roman"/>
          <w:b/>
          <w:sz w:val="28"/>
          <w:szCs w:val="28"/>
          <w:lang w:val="en-US"/>
        </w:rPr>
        <w:t>Literature used:</w:t>
      </w:r>
    </w:p>
    <w:p w:rsidR="00B823F0" w:rsidRPr="00B823F0" w:rsidRDefault="00B823F0" w:rsidP="00B823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 Vygotsky, L. S. Psychology of human development-M.: Sense: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Eksmo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, 2004. - 514s.  </w:t>
      </w:r>
    </w:p>
    <w:p w:rsidR="00B823F0" w:rsidRPr="00B823F0" w:rsidRDefault="00B823F0" w:rsidP="00B823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00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Krasnoshchekova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, N. In. Plot and role-playing games for school-age children / N.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In.Krasnoshchekova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>. Ed. 6-E. Rostov and D.: Phoenix. 2010. - 256s.</w:t>
      </w:r>
    </w:p>
    <w:p w:rsidR="00B823F0" w:rsidRPr="00B823F0" w:rsidRDefault="00B823F0" w:rsidP="00B823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00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Nedospasova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>, V.</w:t>
      </w:r>
      <w:proofErr w:type="gramStart"/>
      <w:r w:rsidRPr="00B823F0">
        <w:rPr>
          <w:rFonts w:ascii="Times New Roman" w:hAnsi="Times New Roman" w:cs="Times New Roman"/>
          <w:sz w:val="28"/>
          <w:szCs w:val="28"/>
          <w:lang w:val="en-US"/>
        </w:rPr>
        <w:t>,.</w:t>
      </w:r>
      <w:proofErr w:type="gramEnd"/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 Growing up playing: Junior school age: a Manual for teachers and parents / V. A.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Nedospasova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-M.: Education, 2004.  - 94c. </w:t>
      </w:r>
    </w:p>
    <w:p w:rsidR="00B823F0" w:rsidRPr="00B823F0" w:rsidRDefault="00B823F0" w:rsidP="00B823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Troitskaya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, N. B. Non-standard lessons and creative activities. M.: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Drofa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>, 2003. - 139s.</w:t>
      </w:r>
    </w:p>
    <w:p w:rsidR="00B823F0" w:rsidRPr="00B823F0" w:rsidRDefault="00B823F0" w:rsidP="00B823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B82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23F0">
        <w:rPr>
          <w:rFonts w:ascii="Times New Roman" w:hAnsi="Times New Roman" w:cs="Times New Roman"/>
          <w:sz w:val="28"/>
          <w:szCs w:val="28"/>
          <w:lang w:val="en-US"/>
        </w:rPr>
        <w:t>Selevko</w:t>
      </w:r>
      <w:proofErr w:type="spellEnd"/>
      <w:r w:rsidRPr="00B823F0">
        <w:rPr>
          <w:rFonts w:ascii="Times New Roman" w:hAnsi="Times New Roman" w:cs="Times New Roman"/>
          <w:sz w:val="28"/>
          <w:szCs w:val="28"/>
          <w:lang w:val="en-US"/>
        </w:rPr>
        <w:t>, G. K. Modern educational technologies-Moscow, 1998. - 275s</w:t>
      </w:r>
    </w:p>
    <w:p w:rsidR="006040E9" w:rsidRPr="003D293A" w:rsidRDefault="006040E9" w:rsidP="003D293A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6040E9" w:rsidRPr="003D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4084"/>
    <w:multiLevelType w:val="hybridMultilevel"/>
    <w:tmpl w:val="DD86F66E"/>
    <w:lvl w:ilvl="0" w:tplc="9B36D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D4CC9"/>
    <w:multiLevelType w:val="hybridMultilevel"/>
    <w:tmpl w:val="09D8140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403067"/>
    <w:multiLevelType w:val="hybridMultilevel"/>
    <w:tmpl w:val="4238DA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6F5AE9"/>
    <w:multiLevelType w:val="hybridMultilevel"/>
    <w:tmpl w:val="B8D8EFA0"/>
    <w:lvl w:ilvl="0" w:tplc="73E81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E4357"/>
    <w:multiLevelType w:val="hybridMultilevel"/>
    <w:tmpl w:val="5DB45D42"/>
    <w:lvl w:ilvl="0" w:tplc="3124A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7595"/>
    <w:multiLevelType w:val="hybridMultilevel"/>
    <w:tmpl w:val="4AAAB352"/>
    <w:lvl w:ilvl="0" w:tplc="BDC006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22"/>
    <w:rsid w:val="00050122"/>
    <w:rsid w:val="002D65A0"/>
    <w:rsid w:val="003D293A"/>
    <w:rsid w:val="006040E9"/>
    <w:rsid w:val="0070031C"/>
    <w:rsid w:val="008A329F"/>
    <w:rsid w:val="009A4CBA"/>
    <w:rsid w:val="00B823F0"/>
    <w:rsid w:val="00E026BA"/>
    <w:rsid w:val="00E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040E9"/>
    <w:pPr>
      <w:ind w:left="720"/>
      <w:contextualSpacing/>
    </w:pPr>
  </w:style>
  <w:style w:type="table" w:styleId="a4">
    <w:name w:val="Table Grid"/>
    <w:basedOn w:val="a1"/>
    <w:uiPriority w:val="59"/>
    <w:rsid w:val="008A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3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040E9"/>
    <w:pPr>
      <w:ind w:left="720"/>
      <w:contextualSpacing/>
    </w:pPr>
  </w:style>
  <w:style w:type="table" w:styleId="a4">
    <w:name w:val="Table Grid"/>
    <w:basedOn w:val="a1"/>
    <w:uiPriority w:val="59"/>
    <w:rsid w:val="008A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3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2018-12-07T02:23:00Z</dcterms:created>
  <dcterms:modified xsi:type="dcterms:W3CDTF">2018-12-07T09:40:00Z</dcterms:modified>
</cp:coreProperties>
</file>