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EE" w:rsidRDefault="00F435EE" w:rsidP="00F435E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Тельнова Владислава Викторовна </w:t>
      </w:r>
    </w:p>
    <w:p w:rsidR="00F435EE" w:rsidRDefault="00F435EE" w:rsidP="00F435EE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435EE" w:rsidRDefault="00F435EE" w:rsidP="00F435EE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ДО «ДТДМ»  г. Магнитогорск,  Р.Ф.</w:t>
      </w:r>
    </w:p>
    <w:p w:rsidR="00F435EE" w:rsidRPr="00F435EE" w:rsidRDefault="00F435EE" w:rsidP="00F435EE">
      <w:pPr>
        <w:ind w:firstLine="851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solovlada@mail.ru</w:t>
      </w:r>
    </w:p>
    <w:p w:rsidR="00F435EE" w:rsidRPr="00A7284A" w:rsidRDefault="00F435EE" w:rsidP="00F43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4A">
        <w:rPr>
          <w:rFonts w:ascii="Times New Roman" w:hAnsi="Times New Roman"/>
          <w:b/>
          <w:sz w:val="28"/>
          <w:szCs w:val="28"/>
        </w:rPr>
        <w:t xml:space="preserve">РАСПИСНАЯ ЭМАЛЬ </w:t>
      </w:r>
      <w:r w:rsidRPr="00A7284A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A7284A">
        <w:rPr>
          <w:rFonts w:ascii="Times New Roman" w:hAnsi="Times New Roman"/>
          <w:b/>
          <w:sz w:val="28"/>
          <w:szCs w:val="28"/>
        </w:rPr>
        <w:t>-</w:t>
      </w:r>
      <w:r w:rsidRPr="00A7284A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A7284A">
        <w:rPr>
          <w:rFonts w:ascii="Times New Roman" w:hAnsi="Times New Roman"/>
          <w:b/>
          <w:sz w:val="28"/>
          <w:szCs w:val="28"/>
        </w:rPr>
        <w:t xml:space="preserve"> ВЕКОВ В РОССИИ</w:t>
      </w:r>
    </w:p>
    <w:p w:rsidR="00F435EE" w:rsidRPr="00A860B0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ТАЦИЯ: в статье рассматривается расписная эмаль, технологический процесс росписи, а также  становление</w:t>
      </w:r>
      <w:r w:rsidRPr="00637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расписной эмали в истории.</w:t>
      </w:r>
      <w:r w:rsidRPr="00BB6340">
        <w:rPr>
          <w:rFonts w:ascii="Times New Roman" w:hAnsi="Times New Roman"/>
          <w:sz w:val="28"/>
          <w:szCs w:val="28"/>
        </w:rPr>
        <w:t xml:space="preserve"> 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эмаль,</w:t>
      </w:r>
      <w:r w:rsidRPr="00637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расписная эмаль</w:t>
      </w:r>
      <w:r w:rsidRPr="00BB6340">
        <w:rPr>
          <w:rFonts w:ascii="Times New Roman" w:hAnsi="Times New Roman"/>
          <w:sz w:val="28"/>
          <w:szCs w:val="28"/>
        </w:rPr>
        <w:t xml:space="preserve">, технологическая цепочка, </w:t>
      </w:r>
      <w:r>
        <w:rPr>
          <w:rFonts w:ascii="Times New Roman" w:hAnsi="Times New Roman"/>
          <w:sz w:val="28"/>
          <w:szCs w:val="28"/>
        </w:rPr>
        <w:t>технический прием, сюжет.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>Расписная эмал</w:t>
      </w:r>
      <w:proofErr w:type="gramStart"/>
      <w:r w:rsidRPr="00BB6340">
        <w:rPr>
          <w:rFonts w:ascii="Times New Roman" w:hAnsi="Times New Roman"/>
          <w:sz w:val="28"/>
          <w:szCs w:val="28"/>
        </w:rPr>
        <w:t>ь-</w:t>
      </w:r>
      <w:proofErr w:type="gramEnd"/>
      <w:r w:rsidRPr="00BB6340">
        <w:rPr>
          <w:rFonts w:ascii="Times New Roman" w:hAnsi="Times New Roman"/>
          <w:sz w:val="28"/>
          <w:szCs w:val="28"/>
        </w:rPr>
        <w:t xml:space="preserve"> это уникальная художественная техника, которая использует живописны</w:t>
      </w:r>
      <w:r>
        <w:rPr>
          <w:rFonts w:ascii="Times New Roman" w:hAnsi="Times New Roman"/>
          <w:sz w:val="28"/>
          <w:szCs w:val="28"/>
        </w:rPr>
        <w:t>е</w:t>
      </w:r>
      <w:r w:rsidRPr="00BB6340">
        <w:rPr>
          <w:rFonts w:ascii="Times New Roman" w:hAnsi="Times New Roman"/>
          <w:sz w:val="28"/>
          <w:szCs w:val="28"/>
        </w:rPr>
        <w:t xml:space="preserve"> приемы письма эмалями при помощи </w:t>
      </w:r>
      <w:r>
        <w:rPr>
          <w:rFonts w:ascii="Times New Roman" w:hAnsi="Times New Roman"/>
          <w:sz w:val="28"/>
          <w:szCs w:val="28"/>
        </w:rPr>
        <w:t>шпателя</w:t>
      </w:r>
      <w:r w:rsidRPr="00BB6340">
        <w:rPr>
          <w:rFonts w:ascii="Times New Roman" w:hAnsi="Times New Roman"/>
          <w:sz w:val="28"/>
          <w:szCs w:val="28"/>
        </w:rPr>
        <w:t xml:space="preserve"> и кисти.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Техника выполнения </w:t>
      </w:r>
      <w:r>
        <w:rPr>
          <w:rFonts w:ascii="Times New Roman" w:hAnsi="Times New Roman"/>
          <w:sz w:val="28"/>
          <w:szCs w:val="28"/>
        </w:rPr>
        <w:t>заключается в</w:t>
      </w:r>
      <w:r w:rsidRPr="00BB6340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м</w:t>
      </w:r>
      <w:r w:rsidRPr="00BB6340">
        <w:rPr>
          <w:rFonts w:ascii="Times New Roman" w:hAnsi="Times New Roman"/>
          <w:sz w:val="28"/>
          <w:szCs w:val="28"/>
        </w:rPr>
        <w:t xml:space="preserve">, что тонкую пластину серебра или медную объемную форму покрывают </w:t>
      </w:r>
      <w:r>
        <w:rPr>
          <w:rFonts w:ascii="Times New Roman" w:hAnsi="Times New Roman"/>
          <w:sz w:val="28"/>
          <w:szCs w:val="28"/>
        </w:rPr>
        <w:t>монохромной</w:t>
      </w:r>
      <w:r w:rsidRPr="00BB6340">
        <w:rPr>
          <w:rFonts w:ascii="Times New Roman" w:hAnsi="Times New Roman"/>
          <w:sz w:val="28"/>
          <w:szCs w:val="28"/>
        </w:rPr>
        <w:t xml:space="preserve"> эмалью </w:t>
      </w:r>
      <w:r>
        <w:rPr>
          <w:rFonts w:ascii="Times New Roman" w:hAnsi="Times New Roman"/>
          <w:sz w:val="28"/>
          <w:szCs w:val="28"/>
        </w:rPr>
        <w:t>со всех сторон</w:t>
      </w:r>
      <w:r w:rsidRPr="00BB6340">
        <w:rPr>
          <w:rFonts w:ascii="Times New Roman" w:hAnsi="Times New Roman"/>
          <w:sz w:val="28"/>
          <w:szCs w:val="28"/>
        </w:rPr>
        <w:t xml:space="preserve"> заготовки. На лицевой стороне форм</w:t>
      </w:r>
      <w:r>
        <w:rPr>
          <w:rFonts w:ascii="Times New Roman" w:hAnsi="Times New Roman"/>
          <w:sz w:val="28"/>
          <w:szCs w:val="28"/>
        </w:rPr>
        <w:t xml:space="preserve">ы эмалевой краской </w:t>
      </w:r>
      <w:r w:rsidRPr="00BB6340">
        <w:rPr>
          <w:rFonts w:ascii="Times New Roman" w:hAnsi="Times New Roman"/>
          <w:sz w:val="28"/>
          <w:szCs w:val="28"/>
        </w:rPr>
        <w:t>делают рисунок насыщенного цвета и</w:t>
      </w:r>
      <w:r>
        <w:rPr>
          <w:rFonts w:ascii="Times New Roman" w:hAnsi="Times New Roman"/>
          <w:sz w:val="28"/>
          <w:szCs w:val="28"/>
        </w:rPr>
        <w:t xml:space="preserve"> прописывают</w:t>
      </w:r>
      <w:r w:rsidRPr="00BB6340">
        <w:rPr>
          <w:rFonts w:ascii="Times New Roman" w:hAnsi="Times New Roman"/>
          <w:sz w:val="28"/>
          <w:szCs w:val="28"/>
        </w:rPr>
        <w:t xml:space="preserve"> контур. Также применяют особый способ перевода рисунка с бумаги - «припорох», 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когда контур изображения накалывается на бумажном листе и припорашивается сверху толченым углем или голландской сажей, которые, проходя через наколотые отверстия, образуют точечный контур. Затем </w:t>
      </w:r>
      <w:r>
        <w:rPr>
          <w:rFonts w:ascii="Times New Roman" w:hAnsi="Times New Roman"/>
          <w:color w:val="333333"/>
          <w:sz w:val="28"/>
          <w:szCs w:val="28"/>
        </w:rPr>
        <w:t>изделие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подвергают обжигу </w:t>
      </w:r>
      <w:r>
        <w:rPr>
          <w:rFonts w:ascii="Times New Roman" w:hAnsi="Times New Roman"/>
          <w:color w:val="333333"/>
          <w:sz w:val="28"/>
          <w:szCs w:val="28"/>
        </w:rPr>
        <w:t>при температуре 700 – 750</w:t>
      </w:r>
      <w:r w:rsidRPr="00536E6D">
        <w:rPr>
          <w:rFonts w:ascii="Times New Roman" w:hAnsi="Times New Roman"/>
          <w:color w:val="000000"/>
          <w:spacing w:val="-2"/>
          <w:sz w:val="28"/>
          <w:szCs w:val="28"/>
        </w:rPr>
        <w:t>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Дале 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расписывают контурное изображение разноцветными эмалями, которые располагают одну рядом с другой, создавая из отдельных цветовых пятен </w:t>
      </w:r>
      <w:r>
        <w:rPr>
          <w:rFonts w:ascii="Times New Roman" w:hAnsi="Times New Roman"/>
          <w:color w:val="333333"/>
          <w:sz w:val="28"/>
          <w:szCs w:val="28"/>
        </w:rPr>
        <w:t>эмали единое изображение в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красочн</w:t>
      </w:r>
      <w:r>
        <w:rPr>
          <w:rFonts w:ascii="Times New Roman" w:hAnsi="Times New Roman"/>
          <w:color w:val="333333"/>
          <w:sz w:val="28"/>
          <w:szCs w:val="28"/>
        </w:rPr>
        <w:t>ой гамме</w:t>
      </w:r>
      <w:r w:rsidRPr="00BB6340">
        <w:rPr>
          <w:rFonts w:ascii="Times New Roman" w:hAnsi="Times New Roman"/>
          <w:color w:val="333333"/>
          <w:sz w:val="28"/>
          <w:szCs w:val="28"/>
        </w:rPr>
        <w:t>. Таким образом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эмаль накладывается локальными частями</w:t>
      </w:r>
      <w:r>
        <w:rPr>
          <w:rFonts w:ascii="Times New Roman" w:hAnsi="Times New Roman"/>
          <w:color w:val="333333"/>
          <w:sz w:val="28"/>
          <w:szCs w:val="28"/>
        </w:rPr>
        <w:t xml:space="preserve">, затем обжигают </w:t>
      </w:r>
      <w:r w:rsidRPr="00BB6340">
        <w:rPr>
          <w:rFonts w:ascii="Times New Roman" w:hAnsi="Times New Roman"/>
          <w:color w:val="333333"/>
          <w:sz w:val="28"/>
          <w:szCs w:val="28"/>
        </w:rPr>
        <w:t>10-15 раз, учитывая разный уровень температуры</w:t>
      </w:r>
      <w:r>
        <w:rPr>
          <w:rFonts w:ascii="Times New Roman" w:hAnsi="Times New Roman"/>
          <w:color w:val="333333"/>
          <w:sz w:val="28"/>
          <w:szCs w:val="28"/>
        </w:rPr>
        <w:t xml:space="preserve"> плавления используемых эмалей.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Состав эмали - аналогичный ювелирной, но помол гораздо мельче.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Приведем примерную рецептуру расписной эмали: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04"/>
        <w:gridCol w:w="3276"/>
      </w:tblGrid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Наименование компонентов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10E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Процентное соотношение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2"/>
                <w:sz w:val="24"/>
                <w:szCs w:val="24"/>
              </w:rPr>
              <w:t>Кварц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34—55%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Бура (борная кислота)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0—12,5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Сода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3—8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2"/>
                <w:sz w:val="24"/>
                <w:szCs w:val="24"/>
              </w:rPr>
              <w:t>Поташ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1,5—11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Свинцовый сурик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25—40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Плавиковый шпат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0—2,5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Криолит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1—4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Калиевая селитра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0—2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Мышьяк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0—4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35EE" w:rsidRPr="00CB510E" w:rsidTr="001D403A">
        <w:tc>
          <w:tcPr>
            <w:tcW w:w="959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4804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Красящие окислы (окись меди, железа, </w:t>
            </w:r>
            <w:r w:rsidRPr="00CB510E">
              <w:rPr>
                <w:rFonts w:ascii="Times New Roman" w:hAnsi="Times New Roman"/>
                <w:sz w:val="24"/>
                <w:szCs w:val="24"/>
              </w:rPr>
              <w:t>кобальта, хрома, марганца)</w:t>
            </w:r>
          </w:p>
        </w:tc>
        <w:tc>
          <w:tcPr>
            <w:tcW w:w="3276" w:type="dxa"/>
          </w:tcPr>
          <w:p w:rsidR="00F435EE" w:rsidRPr="00CB510E" w:rsidRDefault="00F435EE" w:rsidP="001D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10E">
              <w:rPr>
                <w:rFonts w:ascii="Times New Roman" w:hAnsi="Times New Roman"/>
                <w:sz w:val="24"/>
                <w:szCs w:val="24"/>
              </w:rPr>
              <w:t>0,1—5,0</w:t>
            </w:r>
            <w:r w:rsidRPr="00CB510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435EE" w:rsidRPr="00802797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Расписная эмаль разводится глицерином до однородной массы в небольших количествах.</w:t>
      </w:r>
      <w:r w:rsidRPr="00802797">
        <w:rPr>
          <w:rFonts w:ascii="Times New Roman" w:hAnsi="Times New Roman"/>
          <w:color w:val="333333"/>
          <w:sz w:val="28"/>
          <w:szCs w:val="28"/>
        </w:rPr>
        <w:t>[3]</w:t>
      </w:r>
    </w:p>
    <w:p w:rsidR="00F435EE" w:rsidRPr="0088402F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color w:val="333333"/>
          <w:sz w:val="28"/>
          <w:szCs w:val="28"/>
        </w:rPr>
        <w:t>В расписной эмали используют цветные прозрачные и непрозрачные эмали. Применяют также бесцветную прозрачную эмаль, котор</w:t>
      </w:r>
      <w:r>
        <w:rPr>
          <w:rFonts w:ascii="Times New Roman" w:hAnsi="Times New Roman"/>
          <w:color w:val="333333"/>
          <w:sz w:val="28"/>
          <w:szCs w:val="28"/>
        </w:rPr>
        <w:t>ой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перед последним обжигом покрывают </w:t>
      </w:r>
      <w:r>
        <w:rPr>
          <w:rFonts w:ascii="Times New Roman" w:hAnsi="Times New Roman"/>
          <w:color w:val="333333"/>
          <w:sz w:val="28"/>
          <w:szCs w:val="28"/>
        </w:rPr>
        <w:t>все изделие для придания блеска и предохранения поверхности от вредных воздействий окружающей среды.</w:t>
      </w:r>
      <w:r w:rsidRPr="00BB634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Эта процедура называется «горячая полировка».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мы можем видеть фрагменты расписной эмали в мастерских московского Кремля в конце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Pr="00A86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в украшениях царской утвари, в литургической утвари и богослужебных предметах, а также в украшениях.</w:t>
      </w:r>
      <w:r w:rsidRPr="00E2589B">
        <w:rPr>
          <w:rFonts w:ascii="Times New Roman" w:hAnsi="Times New Roman"/>
          <w:sz w:val="28"/>
          <w:szCs w:val="28"/>
        </w:rPr>
        <w:t xml:space="preserve"> </w:t>
      </w:r>
    </w:p>
    <w:p w:rsidR="00F435EE" w:rsidRDefault="00F435EE" w:rsidP="00F435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4505" cy="1754505"/>
            <wp:effectExtent l="19050" t="0" r="0" b="0"/>
            <wp:docPr id="1" name="Рисунок 1" descr="824_exhfoto1_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4_exhfoto1_03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EE" w:rsidRDefault="00F435EE" w:rsidP="00F435E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Рис.1. Чаш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0E6D1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Стоян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поддон </w:t>
      </w:r>
      <w:r>
        <w:rPr>
          <w:rFonts w:ascii="Times New Roman" w:hAnsi="Times New Roman"/>
          <w:sz w:val="28"/>
          <w:szCs w:val="28"/>
          <w:lang w:val="en-US"/>
        </w:rPr>
        <w:t>XVI</w:t>
      </w:r>
    </w:p>
    <w:p w:rsidR="00F435EE" w:rsidRPr="00A860B0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340">
        <w:rPr>
          <w:rFonts w:ascii="Times New Roman" w:hAnsi="Times New Roman"/>
          <w:sz w:val="28"/>
          <w:szCs w:val="28"/>
          <w:lang w:val="en-US"/>
        </w:rPr>
        <w:t>XVIII</w:t>
      </w:r>
      <w:r w:rsidRPr="00BB6340">
        <w:rPr>
          <w:rFonts w:ascii="Times New Roman" w:hAnsi="Times New Roman"/>
          <w:sz w:val="28"/>
          <w:szCs w:val="28"/>
        </w:rPr>
        <w:t xml:space="preserve"> век в истории русской культуры и искусства неразрывно связан с процессом интеграции с европейским искусством.</w:t>
      </w:r>
      <w:proofErr w:type="gramEnd"/>
    </w:p>
    <w:p w:rsidR="00F435EE" w:rsidRDefault="00F435EE" w:rsidP="00F435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Центрами эмальерного искусства в этот период являлись Новгород, Москва и новые региональные школы в Сольвычегодске, Великом Устюге и других городах России. В это время в русской эмали применяют такие техники, как эмаль по литью, эмаль по скани, выемчатая эмаль, эмаль по </w:t>
      </w:r>
      <w:r w:rsidRPr="00BB6340">
        <w:rPr>
          <w:rFonts w:ascii="Times New Roman" w:hAnsi="Times New Roman"/>
          <w:sz w:val="28"/>
          <w:szCs w:val="28"/>
        </w:rPr>
        <w:lastRenderedPageBreak/>
        <w:t xml:space="preserve">рельефу, а также  появилась новая техника </w:t>
      </w:r>
      <w:r>
        <w:rPr>
          <w:rFonts w:ascii="Times New Roman" w:hAnsi="Times New Roman"/>
          <w:sz w:val="28"/>
          <w:szCs w:val="28"/>
        </w:rPr>
        <w:t>– расписная, живописная эмаль.</w:t>
      </w:r>
      <w:r w:rsidRPr="00637DF0">
        <w:rPr>
          <w:rFonts w:ascii="Times New Roman" w:hAnsi="Times New Roman"/>
          <w:sz w:val="28"/>
          <w:szCs w:val="28"/>
        </w:rPr>
        <w:t>[4]</w:t>
      </w:r>
      <w:r w:rsidRPr="00BB6340">
        <w:rPr>
          <w:rFonts w:ascii="Times New Roman" w:hAnsi="Times New Roman"/>
          <w:sz w:val="28"/>
          <w:szCs w:val="28"/>
        </w:rPr>
        <w:t xml:space="preserve"> 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В конце </w:t>
      </w:r>
      <w:r w:rsidRPr="00BB6340">
        <w:rPr>
          <w:rFonts w:ascii="Times New Roman" w:hAnsi="Times New Roman"/>
          <w:sz w:val="28"/>
          <w:szCs w:val="28"/>
          <w:lang w:val="en-US"/>
        </w:rPr>
        <w:t>XVII</w:t>
      </w:r>
      <w:r w:rsidRPr="00BB6340">
        <w:rPr>
          <w:rFonts w:ascii="Times New Roman" w:hAnsi="Times New Roman"/>
          <w:sz w:val="28"/>
          <w:szCs w:val="28"/>
        </w:rPr>
        <w:t xml:space="preserve"> столетия в результате разв</w:t>
      </w:r>
      <w:r>
        <w:rPr>
          <w:rFonts w:ascii="Times New Roman" w:hAnsi="Times New Roman"/>
          <w:sz w:val="28"/>
          <w:szCs w:val="28"/>
        </w:rPr>
        <w:t xml:space="preserve">ития химической промышленности </w:t>
      </w:r>
      <w:r w:rsidRPr="00BB6340">
        <w:rPr>
          <w:rFonts w:ascii="Times New Roman" w:hAnsi="Times New Roman"/>
          <w:sz w:val="28"/>
          <w:szCs w:val="28"/>
        </w:rPr>
        <w:t>в распоряжении ювелиров появились окислы металлов, при нанесении которых на белую эмалевую основу и последующем обжиге можно было достичь передачи тончайших цветовых оттенков, благодаря чему стало возможным создание миниатюр на эмали. Металлическую основу полностью стали покрывать</w:t>
      </w:r>
      <w:r>
        <w:rPr>
          <w:rFonts w:ascii="Times New Roman" w:hAnsi="Times New Roman"/>
          <w:sz w:val="28"/>
          <w:szCs w:val="28"/>
        </w:rPr>
        <w:t xml:space="preserve"> однотонной эмалью сдержанных оттенков</w:t>
      </w:r>
      <w:r w:rsidRPr="00BB6340">
        <w:rPr>
          <w:rFonts w:ascii="Times New Roman" w:hAnsi="Times New Roman"/>
          <w:sz w:val="28"/>
          <w:szCs w:val="28"/>
        </w:rPr>
        <w:t xml:space="preserve">. Этот технический прием стоит обособленно от всех видов ювелирной эмали, так как он является особой формой живописи. Жан </w:t>
      </w:r>
      <w:proofErr w:type="spellStart"/>
      <w:r w:rsidRPr="00BB6340">
        <w:rPr>
          <w:rFonts w:ascii="Times New Roman" w:hAnsi="Times New Roman"/>
          <w:sz w:val="28"/>
          <w:szCs w:val="28"/>
        </w:rPr>
        <w:t>Тутен</w:t>
      </w:r>
      <w:proofErr w:type="spellEnd"/>
      <w:r w:rsidRPr="00BB6340">
        <w:rPr>
          <w:rFonts w:ascii="Times New Roman" w:hAnsi="Times New Roman"/>
          <w:sz w:val="28"/>
          <w:szCs w:val="28"/>
        </w:rPr>
        <w:t xml:space="preserve">, ювелир из </w:t>
      </w:r>
      <w:proofErr w:type="spellStart"/>
      <w:r w:rsidRPr="00BB6340">
        <w:rPr>
          <w:rFonts w:ascii="Times New Roman" w:hAnsi="Times New Roman"/>
          <w:sz w:val="28"/>
          <w:szCs w:val="28"/>
        </w:rPr>
        <w:t>Шатоде</w:t>
      </w:r>
      <w:proofErr w:type="spellEnd"/>
      <w:r w:rsidRPr="00BB6340">
        <w:rPr>
          <w:rFonts w:ascii="Times New Roman" w:hAnsi="Times New Roman"/>
          <w:sz w:val="28"/>
          <w:szCs w:val="28"/>
        </w:rPr>
        <w:t>, разработал в 1632 году этот метод. В течение короткого времени этот вид миниатюрной живописи распространился по всей Европе, и тогда же в мастерских Московского Кремля начали использовать в качестве декора роспись эмалевыми красками.</w:t>
      </w:r>
    </w:p>
    <w:p w:rsidR="00F435EE" w:rsidRPr="00E2589B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C4A">
        <w:rPr>
          <w:rFonts w:ascii="Times New Roman" w:hAnsi="Times New Roman"/>
          <w:sz w:val="28"/>
          <w:szCs w:val="28"/>
        </w:rPr>
        <w:t>Накопление опыта в работе с расписной эмалью, начиная с середины</w:t>
      </w:r>
      <w:r w:rsidRPr="00BB6340">
        <w:rPr>
          <w:rFonts w:ascii="Times New Roman" w:hAnsi="Times New Roman"/>
          <w:sz w:val="28"/>
          <w:szCs w:val="28"/>
        </w:rPr>
        <w:t xml:space="preserve"> </w:t>
      </w:r>
      <w:r w:rsidRPr="00BB6340">
        <w:rPr>
          <w:rFonts w:ascii="Times New Roman" w:hAnsi="Times New Roman"/>
          <w:sz w:val="28"/>
          <w:szCs w:val="28"/>
          <w:lang w:val="en-US"/>
        </w:rPr>
        <w:t>XVII</w:t>
      </w:r>
      <w:r w:rsidRPr="00BB6340">
        <w:rPr>
          <w:rFonts w:ascii="Times New Roman" w:hAnsi="Times New Roman"/>
          <w:sz w:val="28"/>
          <w:szCs w:val="28"/>
        </w:rPr>
        <w:t xml:space="preserve"> века, способствовало чрезвычайно быстрому развитию её разнообразных художественных приемов. Более широкий диапазон средств художественной выразительности расписной эмали, по сравнению с прочими видами эмальерных техник, дал возможность расширить круг тем и о</w:t>
      </w:r>
      <w:r>
        <w:rPr>
          <w:rFonts w:ascii="Times New Roman" w:hAnsi="Times New Roman"/>
          <w:sz w:val="28"/>
          <w:szCs w:val="28"/>
        </w:rPr>
        <w:t>бразов искусства русской эмали</w:t>
      </w:r>
      <w:r w:rsidRPr="00BB63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6340">
        <w:rPr>
          <w:rFonts w:ascii="Times New Roman" w:hAnsi="Times New Roman"/>
          <w:sz w:val="28"/>
          <w:szCs w:val="28"/>
        </w:rPr>
        <w:t>Фигуративные</w:t>
      </w:r>
      <w:proofErr w:type="spellEnd"/>
      <w:r w:rsidRPr="00BB6340">
        <w:rPr>
          <w:rFonts w:ascii="Times New Roman" w:hAnsi="Times New Roman"/>
          <w:sz w:val="28"/>
          <w:szCs w:val="28"/>
        </w:rPr>
        <w:t xml:space="preserve"> изображения и даже многофигурные композ</w:t>
      </w:r>
      <w:r>
        <w:rPr>
          <w:rFonts w:ascii="Times New Roman" w:hAnsi="Times New Roman"/>
          <w:sz w:val="28"/>
          <w:szCs w:val="28"/>
        </w:rPr>
        <w:t xml:space="preserve">иции, </w:t>
      </w:r>
      <w:r w:rsidRPr="00BB6340">
        <w:rPr>
          <w:rFonts w:ascii="Times New Roman" w:hAnsi="Times New Roman"/>
          <w:sz w:val="28"/>
          <w:szCs w:val="28"/>
        </w:rPr>
        <w:t>орнаментальные узоры, стали испо</w:t>
      </w:r>
      <w:r>
        <w:rPr>
          <w:rFonts w:ascii="Times New Roman" w:hAnsi="Times New Roman"/>
          <w:sz w:val="28"/>
          <w:szCs w:val="28"/>
        </w:rPr>
        <w:t>льзовать художники–</w:t>
      </w:r>
      <w:proofErr w:type="spellStart"/>
      <w:r w:rsidRPr="00BB6340">
        <w:rPr>
          <w:rFonts w:ascii="Times New Roman" w:hAnsi="Times New Roman"/>
          <w:sz w:val="28"/>
          <w:szCs w:val="28"/>
        </w:rPr>
        <w:t>эмальеры</w:t>
      </w:r>
      <w:proofErr w:type="spellEnd"/>
      <w:r w:rsidRPr="00BB6340">
        <w:rPr>
          <w:rFonts w:ascii="Times New Roman" w:hAnsi="Times New Roman"/>
          <w:sz w:val="28"/>
          <w:szCs w:val="28"/>
        </w:rPr>
        <w:t>, благодаря приемам, сходным с обычным живописным письмом. Миниатюрной живопи</w:t>
      </w:r>
      <w:r>
        <w:rPr>
          <w:rFonts w:ascii="Times New Roman" w:hAnsi="Times New Roman"/>
          <w:sz w:val="28"/>
          <w:szCs w:val="28"/>
        </w:rPr>
        <w:t xml:space="preserve">сью по эмали начали заниматься </w:t>
      </w:r>
      <w:r w:rsidRPr="00BB6340">
        <w:rPr>
          <w:rFonts w:ascii="Times New Roman" w:hAnsi="Times New Roman"/>
          <w:sz w:val="28"/>
          <w:szCs w:val="28"/>
        </w:rPr>
        <w:t>и иконописцы.</w:t>
      </w:r>
      <w:r>
        <w:rPr>
          <w:rFonts w:ascii="Times New Roman" w:hAnsi="Times New Roman"/>
          <w:color w:val="333333"/>
          <w:sz w:val="28"/>
          <w:szCs w:val="28"/>
        </w:rPr>
        <w:t>[</w:t>
      </w:r>
      <w:r w:rsidRPr="00E2589B">
        <w:rPr>
          <w:rFonts w:ascii="Times New Roman" w:hAnsi="Times New Roman"/>
          <w:color w:val="333333"/>
          <w:sz w:val="28"/>
          <w:szCs w:val="28"/>
        </w:rPr>
        <w:t>1</w:t>
      </w:r>
      <w:r>
        <w:rPr>
          <w:rFonts w:ascii="Times New Roman" w:hAnsi="Times New Roman"/>
          <w:color w:val="333333"/>
          <w:sz w:val="28"/>
          <w:szCs w:val="28"/>
        </w:rPr>
        <w:t>]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Ведущими в этот период </w:t>
      </w:r>
      <w:r w:rsidRPr="00BB6340">
        <w:rPr>
          <w:rFonts w:ascii="Times New Roman" w:hAnsi="Times New Roman"/>
          <w:sz w:val="28"/>
          <w:szCs w:val="28"/>
        </w:rPr>
        <w:t>становятся тенденции светского искусства. Ми</w:t>
      </w:r>
      <w:r>
        <w:rPr>
          <w:rFonts w:ascii="Times New Roman" w:hAnsi="Times New Roman"/>
          <w:sz w:val="28"/>
          <w:szCs w:val="28"/>
        </w:rPr>
        <w:t xml:space="preserve">ниатюрная живопись становится </w:t>
      </w:r>
      <w:r w:rsidRPr="00BB6340">
        <w:rPr>
          <w:rFonts w:ascii="Times New Roman" w:hAnsi="Times New Roman"/>
          <w:sz w:val="28"/>
          <w:szCs w:val="28"/>
        </w:rPr>
        <w:t>в русск</w:t>
      </w:r>
      <w:r>
        <w:rPr>
          <w:rFonts w:ascii="Times New Roman" w:hAnsi="Times New Roman"/>
          <w:sz w:val="28"/>
          <w:szCs w:val="28"/>
        </w:rPr>
        <w:t xml:space="preserve">ой эмали символом новаторства. </w:t>
      </w:r>
      <w:r w:rsidRPr="00BB6340">
        <w:rPr>
          <w:rFonts w:ascii="Times New Roman" w:hAnsi="Times New Roman"/>
          <w:sz w:val="28"/>
          <w:szCs w:val="28"/>
        </w:rPr>
        <w:t xml:space="preserve">Сложный период в развитии художественных ремесел возникает результате переезда </w:t>
      </w:r>
      <w:r>
        <w:rPr>
          <w:rFonts w:ascii="Times New Roman" w:hAnsi="Times New Roman"/>
          <w:sz w:val="28"/>
          <w:szCs w:val="28"/>
        </w:rPr>
        <w:t>царского двора в новую столицу.</w:t>
      </w:r>
      <w:r w:rsidRPr="00BB6340">
        <w:rPr>
          <w:rFonts w:ascii="Times New Roman" w:hAnsi="Times New Roman"/>
          <w:sz w:val="28"/>
          <w:szCs w:val="28"/>
        </w:rPr>
        <w:t xml:space="preserve"> Круг заказчиков московских ювелирных мастерских уменьшился, а в феврале 1701 года была упразднена Золотая палата -  главный центр</w:t>
      </w:r>
      <w:r>
        <w:rPr>
          <w:rFonts w:ascii="Times New Roman" w:hAnsi="Times New Roman"/>
          <w:sz w:val="28"/>
          <w:szCs w:val="28"/>
        </w:rPr>
        <w:t xml:space="preserve"> русского ювелирного искусства. </w:t>
      </w:r>
      <w:r w:rsidRPr="00E2589B">
        <w:rPr>
          <w:rFonts w:ascii="Times New Roman" w:hAnsi="Times New Roman"/>
          <w:sz w:val="28"/>
          <w:szCs w:val="28"/>
        </w:rPr>
        <w:t>[4]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lastRenderedPageBreak/>
        <w:t xml:space="preserve">Но уже в начале </w:t>
      </w:r>
      <w:r w:rsidRPr="00BB6340">
        <w:rPr>
          <w:rFonts w:ascii="Times New Roman" w:hAnsi="Times New Roman"/>
          <w:sz w:val="28"/>
          <w:szCs w:val="28"/>
          <w:lang w:val="en-US"/>
        </w:rPr>
        <w:t>XVIII</w:t>
      </w:r>
      <w:r w:rsidRPr="00BB6340">
        <w:rPr>
          <w:rFonts w:ascii="Times New Roman" w:hAnsi="Times New Roman"/>
          <w:sz w:val="28"/>
          <w:szCs w:val="28"/>
        </w:rPr>
        <w:t xml:space="preserve"> столетия в Петербурге складывается новый эмальерный художественный центр, связанный со станковыми видами искусства и, в частности, с живописным портретом. В 1698 году Петр </w:t>
      </w:r>
      <w:r w:rsidRPr="00BB6340">
        <w:rPr>
          <w:rFonts w:ascii="Times New Roman" w:hAnsi="Times New Roman"/>
          <w:sz w:val="28"/>
          <w:szCs w:val="28"/>
          <w:lang w:val="en-US"/>
        </w:rPr>
        <w:t>I</w:t>
      </w:r>
      <w:r w:rsidRPr="00BB6340">
        <w:rPr>
          <w:rFonts w:ascii="Times New Roman" w:hAnsi="Times New Roman"/>
          <w:sz w:val="28"/>
          <w:szCs w:val="28"/>
        </w:rPr>
        <w:t xml:space="preserve"> заказал шведскому миниатюристу Шарлю </w:t>
      </w:r>
      <w:proofErr w:type="spellStart"/>
      <w:r w:rsidRPr="00BB6340">
        <w:rPr>
          <w:rFonts w:ascii="Times New Roman" w:hAnsi="Times New Roman"/>
          <w:sz w:val="28"/>
          <w:szCs w:val="28"/>
        </w:rPr>
        <w:t>Буату</w:t>
      </w:r>
      <w:proofErr w:type="spellEnd"/>
      <w:r w:rsidRPr="00BB6340">
        <w:rPr>
          <w:rFonts w:ascii="Times New Roman" w:hAnsi="Times New Roman"/>
          <w:sz w:val="28"/>
          <w:szCs w:val="28"/>
        </w:rPr>
        <w:t xml:space="preserve"> несколько эмал</w:t>
      </w:r>
      <w:r>
        <w:rPr>
          <w:rFonts w:ascii="Times New Roman" w:hAnsi="Times New Roman"/>
          <w:sz w:val="28"/>
          <w:szCs w:val="28"/>
        </w:rPr>
        <w:t>евых портретов. Успешных</w:t>
      </w:r>
      <w:r w:rsidRPr="00BB6340">
        <w:rPr>
          <w:rFonts w:ascii="Times New Roman" w:hAnsi="Times New Roman"/>
          <w:sz w:val="28"/>
          <w:szCs w:val="28"/>
        </w:rPr>
        <w:t xml:space="preserve"> полководцев ру</w:t>
      </w:r>
      <w:r>
        <w:rPr>
          <w:rFonts w:ascii="Times New Roman" w:hAnsi="Times New Roman"/>
          <w:sz w:val="28"/>
          <w:szCs w:val="28"/>
        </w:rPr>
        <w:t xml:space="preserve">сской армии награждали </w:t>
      </w:r>
      <w:r w:rsidRPr="00BB6340">
        <w:rPr>
          <w:rFonts w:ascii="Times New Roman" w:hAnsi="Times New Roman"/>
          <w:sz w:val="28"/>
          <w:szCs w:val="28"/>
        </w:rPr>
        <w:t xml:space="preserve">финифтяными портретами, которые использовались в качестве наградных знаков, которыми Петр </w:t>
      </w:r>
      <w:r w:rsidRPr="00BB6340">
        <w:rPr>
          <w:rFonts w:ascii="Times New Roman" w:hAnsi="Times New Roman"/>
          <w:sz w:val="28"/>
          <w:szCs w:val="28"/>
          <w:lang w:val="en-US"/>
        </w:rPr>
        <w:t>I</w:t>
      </w:r>
      <w:r w:rsidRPr="00BB6340">
        <w:rPr>
          <w:rFonts w:ascii="Times New Roman" w:hAnsi="Times New Roman"/>
          <w:sz w:val="28"/>
          <w:szCs w:val="28"/>
        </w:rPr>
        <w:t xml:space="preserve"> жаловал своих приближенных.</w:t>
      </w:r>
      <w:r>
        <w:rPr>
          <w:rFonts w:ascii="Times New Roman" w:hAnsi="Times New Roman"/>
          <w:sz w:val="28"/>
          <w:szCs w:val="28"/>
        </w:rPr>
        <w:t>[</w:t>
      </w:r>
      <w:r w:rsidRPr="00802797">
        <w:rPr>
          <w:rFonts w:ascii="Times New Roman" w:hAnsi="Times New Roman"/>
          <w:sz w:val="28"/>
          <w:szCs w:val="28"/>
        </w:rPr>
        <w:t>5</w:t>
      </w:r>
      <w:r w:rsidRPr="00637DF0">
        <w:rPr>
          <w:rFonts w:ascii="Times New Roman" w:hAnsi="Times New Roman"/>
          <w:sz w:val="28"/>
          <w:szCs w:val="28"/>
        </w:rPr>
        <w:t>]</w:t>
      </w:r>
    </w:p>
    <w:p w:rsidR="00F435EE" w:rsidRDefault="00F435EE" w:rsidP="00F435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190" cy="2030730"/>
            <wp:effectExtent l="19050" t="0" r="3810" b="0"/>
            <wp:docPr id="2" name="Рисунок 2" descr="img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EE" w:rsidRPr="00637DF0" w:rsidRDefault="00F435EE" w:rsidP="00F435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Рис.2.  Пётр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Миниатюра на эмали (Конец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>)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>Одной из специфических особенностей м</w:t>
      </w:r>
      <w:r>
        <w:rPr>
          <w:rFonts w:ascii="Times New Roman" w:hAnsi="Times New Roman"/>
          <w:sz w:val="28"/>
          <w:szCs w:val="28"/>
        </w:rPr>
        <w:t xml:space="preserve">иниатюрной живописи на эмали в </w:t>
      </w:r>
      <w:r w:rsidRPr="00BB6340">
        <w:rPr>
          <w:rFonts w:ascii="Times New Roman" w:hAnsi="Times New Roman"/>
          <w:sz w:val="28"/>
          <w:szCs w:val="28"/>
          <w:lang w:val="en-US"/>
        </w:rPr>
        <w:t>XVIII</w:t>
      </w:r>
      <w:r w:rsidRPr="00BB6340">
        <w:rPr>
          <w:rFonts w:ascii="Times New Roman" w:hAnsi="Times New Roman"/>
          <w:sz w:val="28"/>
          <w:szCs w:val="28"/>
        </w:rPr>
        <w:t xml:space="preserve"> века было воспроизведение изображения с живописного или гравированного оригинала. В частности, это диктовалось </w:t>
      </w:r>
      <w:r>
        <w:rPr>
          <w:rFonts w:ascii="Times New Roman" w:hAnsi="Times New Roman"/>
          <w:sz w:val="28"/>
          <w:szCs w:val="28"/>
        </w:rPr>
        <w:t xml:space="preserve">кропотливостью и длительностью </w:t>
      </w:r>
      <w:r w:rsidRPr="00BB6340">
        <w:rPr>
          <w:rFonts w:ascii="Times New Roman" w:hAnsi="Times New Roman"/>
          <w:sz w:val="28"/>
          <w:szCs w:val="28"/>
        </w:rPr>
        <w:t>работы миниатюристов, исключавшей возможность позирования.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Использование станковых произведений для </w:t>
      </w:r>
      <w:r>
        <w:rPr>
          <w:rFonts w:ascii="Times New Roman" w:hAnsi="Times New Roman"/>
          <w:sz w:val="28"/>
          <w:szCs w:val="28"/>
        </w:rPr>
        <w:t xml:space="preserve">создания миниатюрных портретов </w:t>
      </w:r>
      <w:r w:rsidRPr="00BB6340">
        <w:rPr>
          <w:rFonts w:ascii="Times New Roman" w:hAnsi="Times New Roman"/>
          <w:sz w:val="28"/>
          <w:szCs w:val="28"/>
        </w:rPr>
        <w:t>не принимало у мастеров расписной эмали формы механического копирования, простого переведения живописного изображения в другие масштабы и иной художествен</w:t>
      </w:r>
      <w:r>
        <w:rPr>
          <w:rFonts w:ascii="Times New Roman" w:hAnsi="Times New Roman"/>
          <w:sz w:val="28"/>
          <w:szCs w:val="28"/>
        </w:rPr>
        <w:t>ный материал.</w:t>
      </w:r>
    </w:p>
    <w:p w:rsidR="00F435EE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Недостаток оттенков того или иного цвета изменял палитру мастера, ими, как правило применялась пунктирная техника миниатюрной живописи. Форма моделировалась мелкими, почти микроскопическими мазками, и тоновые переходы зависели не от использования высветляющихся красок, а от густоты этих одноцветных мазков. Благодаря взаимодействию со станковыми видами искусства, прежде всего с гравюрой, в эмальерном деле в </w:t>
      </w:r>
      <w:r w:rsidRPr="00BB6340">
        <w:rPr>
          <w:rFonts w:ascii="Times New Roman" w:hAnsi="Times New Roman"/>
          <w:sz w:val="28"/>
          <w:szCs w:val="28"/>
        </w:rPr>
        <w:lastRenderedPageBreak/>
        <w:t xml:space="preserve">первой трети </w:t>
      </w:r>
      <w:r w:rsidRPr="00BB6340">
        <w:rPr>
          <w:rFonts w:ascii="Times New Roman" w:hAnsi="Times New Roman"/>
          <w:sz w:val="28"/>
          <w:szCs w:val="28"/>
          <w:lang w:val="en-US"/>
        </w:rPr>
        <w:t>XVIII</w:t>
      </w:r>
      <w:r w:rsidRPr="00BB6340">
        <w:rPr>
          <w:rFonts w:ascii="Times New Roman" w:hAnsi="Times New Roman"/>
          <w:sz w:val="28"/>
          <w:szCs w:val="28"/>
        </w:rPr>
        <w:t xml:space="preserve"> достигают своего расцвета портретный, библейский и бытовой жанры. </w:t>
      </w:r>
    </w:p>
    <w:p w:rsidR="00F435EE" w:rsidRDefault="00F435EE" w:rsidP="00F435E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2555" cy="1732915"/>
            <wp:effectExtent l="19050" t="0" r="0" b="0"/>
            <wp:docPr id="3" name="Рисунок 3" descr="2013-12-29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12-29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EE" w:rsidRDefault="00F435EE" w:rsidP="00F435E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D8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Дробница. Архангел Михаил. Середина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(Живопись по эмали)</w:t>
      </w:r>
    </w:p>
    <w:p w:rsidR="00F435EE" w:rsidRPr="00265A47" w:rsidRDefault="00F435EE" w:rsidP="00F435EE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B6340">
        <w:rPr>
          <w:rFonts w:ascii="Times New Roman" w:hAnsi="Times New Roman"/>
          <w:sz w:val="28"/>
          <w:szCs w:val="28"/>
        </w:rPr>
        <w:t xml:space="preserve">В 40 – 50-е годы </w:t>
      </w:r>
      <w:r w:rsidRPr="00BB6340">
        <w:rPr>
          <w:rFonts w:ascii="Times New Roman" w:hAnsi="Times New Roman"/>
          <w:sz w:val="28"/>
          <w:szCs w:val="28"/>
          <w:lang w:val="en-US"/>
        </w:rPr>
        <w:t>XVIII</w:t>
      </w:r>
      <w:r w:rsidRPr="00BB6340">
        <w:rPr>
          <w:rFonts w:ascii="Times New Roman" w:hAnsi="Times New Roman"/>
          <w:sz w:val="28"/>
          <w:szCs w:val="28"/>
        </w:rPr>
        <w:t xml:space="preserve"> столетия распространяется мода на памятные миниатюрные портреты, выполненные масляными, темперными и акварельными красками на кости. Они составили конкуренцию эмалевым портретам. Создание подобных миниатюр требует большого художественного мастерства.</w:t>
      </w:r>
      <w:r w:rsidRPr="00D862E6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35EE" w:rsidRDefault="00F435EE" w:rsidP="00F435E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2BC8">
        <w:rPr>
          <w:rFonts w:ascii="Times New Roman" w:hAnsi="Times New Roman"/>
          <w:sz w:val="28"/>
          <w:szCs w:val="28"/>
        </w:rPr>
        <w:t>Список литературы:</w:t>
      </w:r>
    </w:p>
    <w:p w:rsidR="00F435EE" w:rsidRDefault="00F435EE" w:rsidP="00F435EE">
      <w:pPr>
        <w:pStyle w:val="1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340">
        <w:rPr>
          <w:rFonts w:ascii="Times New Roman" w:hAnsi="Times New Roman"/>
          <w:sz w:val="28"/>
          <w:szCs w:val="28"/>
        </w:rPr>
        <w:t>Бреполь</w:t>
      </w:r>
      <w:proofErr w:type="spellEnd"/>
      <w:r w:rsidRPr="00BB6340">
        <w:rPr>
          <w:rFonts w:ascii="Times New Roman" w:hAnsi="Times New Roman"/>
          <w:sz w:val="28"/>
          <w:szCs w:val="28"/>
        </w:rPr>
        <w:t xml:space="preserve"> Э. Художественное </w:t>
      </w:r>
      <w:r w:rsidRPr="00BB6340">
        <w:rPr>
          <w:rStyle w:val="redtext"/>
          <w:rFonts w:ascii="Times New Roman" w:hAnsi="Times New Roman"/>
          <w:sz w:val="28"/>
          <w:szCs w:val="28"/>
        </w:rPr>
        <w:t>эмалирование</w:t>
      </w:r>
      <w:r w:rsidRPr="00BB6340">
        <w:rPr>
          <w:rFonts w:ascii="Times New Roman" w:hAnsi="Times New Roman"/>
          <w:sz w:val="28"/>
          <w:szCs w:val="28"/>
        </w:rPr>
        <w:t xml:space="preserve"> / Э. </w:t>
      </w:r>
      <w:proofErr w:type="spellStart"/>
      <w:r w:rsidRPr="00BB6340">
        <w:rPr>
          <w:rFonts w:ascii="Times New Roman" w:hAnsi="Times New Roman"/>
          <w:sz w:val="28"/>
          <w:szCs w:val="28"/>
        </w:rPr>
        <w:t>Бреполь</w:t>
      </w:r>
      <w:proofErr w:type="spellEnd"/>
      <w:r w:rsidRPr="00BB6340">
        <w:rPr>
          <w:rFonts w:ascii="Times New Roman" w:hAnsi="Times New Roman"/>
          <w:sz w:val="28"/>
          <w:szCs w:val="28"/>
        </w:rPr>
        <w:t xml:space="preserve">. – Л.: Машиностроение, Ленинградское отделение , 1986. - 156 </w:t>
      </w:r>
      <w:proofErr w:type="gramStart"/>
      <w:r w:rsidRPr="00BB6340">
        <w:rPr>
          <w:rFonts w:ascii="Times New Roman" w:hAnsi="Times New Roman"/>
          <w:sz w:val="28"/>
          <w:szCs w:val="28"/>
        </w:rPr>
        <w:t>с</w:t>
      </w:r>
      <w:proofErr w:type="gramEnd"/>
      <w:r w:rsidRPr="00BB6340">
        <w:rPr>
          <w:rFonts w:ascii="Times New Roman" w:hAnsi="Times New Roman"/>
          <w:sz w:val="28"/>
          <w:szCs w:val="28"/>
        </w:rPr>
        <w:t>.</w:t>
      </w:r>
    </w:p>
    <w:p w:rsidR="00F435EE" w:rsidRPr="00FC2BC8" w:rsidRDefault="00F435EE" w:rsidP="00F435EE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BC8">
        <w:rPr>
          <w:rFonts w:ascii="Times New Roman" w:hAnsi="Times New Roman"/>
          <w:sz w:val="28"/>
          <w:szCs w:val="28"/>
        </w:rPr>
        <w:t xml:space="preserve">Герасимова А.А «Художественное эмалирование»: метод указания по дисциплине « Производственное обучение» для студентов 4 курса очного отделения специальности «ДПИ» квалификации «Художник декоративно-прикладного искусства (художественный металл)/. Магнитогорск: </w:t>
      </w:r>
      <w:proofErr w:type="spellStart"/>
      <w:r w:rsidRPr="00FC2BC8">
        <w:rPr>
          <w:rFonts w:ascii="Times New Roman" w:hAnsi="Times New Roman"/>
          <w:sz w:val="28"/>
          <w:szCs w:val="28"/>
        </w:rPr>
        <w:t>МаГУ</w:t>
      </w:r>
      <w:proofErr w:type="spellEnd"/>
      <w:r w:rsidRPr="00FC2BC8">
        <w:rPr>
          <w:rFonts w:ascii="Times New Roman" w:hAnsi="Times New Roman"/>
          <w:sz w:val="28"/>
          <w:szCs w:val="28"/>
        </w:rPr>
        <w:t xml:space="preserve">, 2010. – 64с. </w:t>
      </w:r>
    </w:p>
    <w:p w:rsidR="00F435EE" w:rsidRDefault="00F435EE" w:rsidP="00F435EE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BC8">
        <w:rPr>
          <w:rFonts w:ascii="Times New Roman" w:hAnsi="Times New Roman"/>
          <w:sz w:val="28"/>
          <w:szCs w:val="28"/>
        </w:rPr>
        <w:t>Герасимова А. А. Художественное эмалирование. Курс лекций по дисциплине «Технология». Министерство образования и науки Российской Федерации ГОУ ВПО «Магнитогорский государственный университет». Магнитогорск. 2008 .</w:t>
      </w:r>
    </w:p>
    <w:p w:rsidR="00F435EE" w:rsidRDefault="00F435EE" w:rsidP="00F435EE">
      <w:pPr>
        <w:pStyle w:val="1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282C">
        <w:rPr>
          <w:rFonts w:ascii="Times New Roman" w:hAnsi="Times New Roman"/>
          <w:sz w:val="28"/>
          <w:szCs w:val="28"/>
        </w:rPr>
        <w:t xml:space="preserve">Русская эмаль </w:t>
      </w:r>
      <w:r w:rsidRPr="00A8282C">
        <w:rPr>
          <w:rFonts w:ascii="Times New Roman" w:hAnsi="Times New Roman"/>
          <w:sz w:val="28"/>
          <w:szCs w:val="28"/>
          <w:lang w:val="en-US"/>
        </w:rPr>
        <w:t>XII</w:t>
      </w:r>
      <w:r w:rsidRPr="00A8282C">
        <w:rPr>
          <w:rFonts w:ascii="Times New Roman" w:hAnsi="Times New Roman"/>
          <w:sz w:val="28"/>
          <w:szCs w:val="28"/>
        </w:rPr>
        <w:t xml:space="preserve"> – начала </w:t>
      </w:r>
      <w:r w:rsidRPr="00A8282C">
        <w:rPr>
          <w:rFonts w:ascii="Times New Roman" w:hAnsi="Times New Roman"/>
          <w:sz w:val="28"/>
          <w:szCs w:val="28"/>
          <w:lang w:val="en-US"/>
        </w:rPr>
        <w:t>XX</w:t>
      </w:r>
      <w:r w:rsidRPr="00A8282C">
        <w:rPr>
          <w:rFonts w:ascii="Times New Roman" w:hAnsi="Times New Roman"/>
          <w:sz w:val="28"/>
          <w:szCs w:val="28"/>
        </w:rPr>
        <w:t xml:space="preserve"> века из собрания Государственного Эрмитажа</w:t>
      </w:r>
      <w:proofErr w:type="gramStart"/>
      <w:r w:rsidRPr="00A8282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8282C">
        <w:rPr>
          <w:rFonts w:ascii="Times New Roman" w:hAnsi="Times New Roman"/>
          <w:sz w:val="28"/>
          <w:szCs w:val="28"/>
        </w:rPr>
        <w:t xml:space="preserve"> альбом. - Л.,1987. - 258 с.</w:t>
      </w:r>
    </w:p>
    <w:p w:rsidR="00F435EE" w:rsidRDefault="00F435EE" w:rsidP="00F435EE">
      <w:pPr>
        <w:pStyle w:val="1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284A">
        <w:rPr>
          <w:rFonts w:ascii="Times New Roman" w:hAnsi="Times New Roman"/>
          <w:sz w:val="28"/>
          <w:szCs w:val="28"/>
        </w:rPr>
        <w:lastRenderedPageBreak/>
        <w:t>http://www.hotenamel.net</w:t>
      </w:r>
    </w:p>
    <w:p w:rsidR="00F435EE" w:rsidRPr="00A7284A" w:rsidRDefault="00F435EE" w:rsidP="00F435EE">
      <w:pPr>
        <w:pStyle w:val="1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284A">
        <w:rPr>
          <w:rFonts w:ascii="Times New Roman" w:hAnsi="Times New Roman"/>
          <w:sz w:val="28"/>
          <w:szCs w:val="28"/>
        </w:rPr>
        <w:t>http://www.enamel.ru</w:t>
      </w:r>
    </w:p>
    <w:p w:rsidR="00B66296" w:rsidRDefault="00B66296"/>
    <w:sectPr w:rsidR="00B66296" w:rsidSect="00B6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1D1"/>
    <w:multiLevelType w:val="hybridMultilevel"/>
    <w:tmpl w:val="1248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5EE"/>
    <w:rsid w:val="00001D19"/>
    <w:rsid w:val="00012980"/>
    <w:rsid w:val="00014C6E"/>
    <w:rsid w:val="0002381C"/>
    <w:rsid w:val="000278C8"/>
    <w:rsid w:val="00036EC1"/>
    <w:rsid w:val="000536C7"/>
    <w:rsid w:val="00067759"/>
    <w:rsid w:val="00072733"/>
    <w:rsid w:val="00084CE2"/>
    <w:rsid w:val="00085A30"/>
    <w:rsid w:val="00093F28"/>
    <w:rsid w:val="000B23A5"/>
    <w:rsid w:val="000D7517"/>
    <w:rsid w:val="000E5168"/>
    <w:rsid w:val="000F171B"/>
    <w:rsid w:val="00102623"/>
    <w:rsid w:val="0010500D"/>
    <w:rsid w:val="00111DD5"/>
    <w:rsid w:val="001122FB"/>
    <w:rsid w:val="0011704A"/>
    <w:rsid w:val="00172649"/>
    <w:rsid w:val="00184989"/>
    <w:rsid w:val="001A513D"/>
    <w:rsid w:val="001B0A06"/>
    <w:rsid w:val="001D4FBC"/>
    <w:rsid w:val="001E3FB0"/>
    <w:rsid w:val="001F3C5F"/>
    <w:rsid w:val="00217A93"/>
    <w:rsid w:val="0022061E"/>
    <w:rsid w:val="00225522"/>
    <w:rsid w:val="00226029"/>
    <w:rsid w:val="00240B43"/>
    <w:rsid w:val="00246973"/>
    <w:rsid w:val="002477CB"/>
    <w:rsid w:val="00264A95"/>
    <w:rsid w:val="0027154F"/>
    <w:rsid w:val="002747DB"/>
    <w:rsid w:val="0029614E"/>
    <w:rsid w:val="002C1C96"/>
    <w:rsid w:val="002D4E2B"/>
    <w:rsid w:val="002F5EF4"/>
    <w:rsid w:val="00301FE0"/>
    <w:rsid w:val="00304ED4"/>
    <w:rsid w:val="00305731"/>
    <w:rsid w:val="00305F0A"/>
    <w:rsid w:val="003176E3"/>
    <w:rsid w:val="00344944"/>
    <w:rsid w:val="00360609"/>
    <w:rsid w:val="0036694B"/>
    <w:rsid w:val="00372B7F"/>
    <w:rsid w:val="00381D5C"/>
    <w:rsid w:val="00387056"/>
    <w:rsid w:val="003A0827"/>
    <w:rsid w:val="003A469D"/>
    <w:rsid w:val="003A4DFA"/>
    <w:rsid w:val="003B32FA"/>
    <w:rsid w:val="003B5374"/>
    <w:rsid w:val="003B750B"/>
    <w:rsid w:val="003C024A"/>
    <w:rsid w:val="003C3D78"/>
    <w:rsid w:val="003D7DDB"/>
    <w:rsid w:val="003E670D"/>
    <w:rsid w:val="00415554"/>
    <w:rsid w:val="00420520"/>
    <w:rsid w:val="00462F18"/>
    <w:rsid w:val="004654C7"/>
    <w:rsid w:val="004B484E"/>
    <w:rsid w:val="004C153C"/>
    <w:rsid w:val="004C69E5"/>
    <w:rsid w:val="004D2472"/>
    <w:rsid w:val="004D3AF1"/>
    <w:rsid w:val="004E392D"/>
    <w:rsid w:val="004F16A2"/>
    <w:rsid w:val="004F3934"/>
    <w:rsid w:val="00506C62"/>
    <w:rsid w:val="005123C4"/>
    <w:rsid w:val="00517D42"/>
    <w:rsid w:val="005202A2"/>
    <w:rsid w:val="00525ABB"/>
    <w:rsid w:val="00530BFA"/>
    <w:rsid w:val="005331F3"/>
    <w:rsid w:val="00537B73"/>
    <w:rsid w:val="0054093D"/>
    <w:rsid w:val="00544F56"/>
    <w:rsid w:val="005523DD"/>
    <w:rsid w:val="00552460"/>
    <w:rsid w:val="00553B01"/>
    <w:rsid w:val="0055555B"/>
    <w:rsid w:val="00555FC4"/>
    <w:rsid w:val="00560653"/>
    <w:rsid w:val="00563F5E"/>
    <w:rsid w:val="005705CB"/>
    <w:rsid w:val="00586124"/>
    <w:rsid w:val="00591DAD"/>
    <w:rsid w:val="005B43DC"/>
    <w:rsid w:val="005B47F5"/>
    <w:rsid w:val="005C144E"/>
    <w:rsid w:val="005C40DA"/>
    <w:rsid w:val="005C77D0"/>
    <w:rsid w:val="005D0FA1"/>
    <w:rsid w:val="005E0BA6"/>
    <w:rsid w:val="005F6EC5"/>
    <w:rsid w:val="0060343A"/>
    <w:rsid w:val="0061666C"/>
    <w:rsid w:val="00617CBA"/>
    <w:rsid w:val="00622D3E"/>
    <w:rsid w:val="006243E7"/>
    <w:rsid w:val="00624B30"/>
    <w:rsid w:val="00644185"/>
    <w:rsid w:val="0065218A"/>
    <w:rsid w:val="00672AAC"/>
    <w:rsid w:val="00681810"/>
    <w:rsid w:val="00684B2C"/>
    <w:rsid w:val="006B7523"/>
    <w:rsid w:val="00702C13"/>
    <w:rsid w:val="007103B9"/>
    <w:rsid w:val="0071420B"/>
    <w:rsid w:val="007171B2"/>
    <w:rsid w:val="007310E0"/>
    <w:rsid w:val="00747DB4"/>
    <w:rsid w:val="00756A2C"/>
    <w:rsid w:val="00770B2C"/>
    <w:rsid w:val="007975F9"/>
    <w:rsid w:val="007A18C2"/>
    <w:rsid w:val="007A19DF"/>
    <w:rsid w:val="007B0C6C"/>
    <w:rsid w:val="007B2385"/>
    <w:rsid w:val="007B471D"/>
    <w:rsid w:val="007C0B30"/>
    <w:rsid w:val="007D7B0C"/>
    <w:rsid w:val="007E1EEA"/>
    <w:rsid w:val="00801CC4"/>
    <w:rsid w:val="0080511E"/>
    <w:rsid w:val="00807D38"/>
    <w:rsid w:val="008220B1"/>
    <w:rsid w:val="008314C4"/>
    <w:rsid w:val="00842852"/>
    <w:rsid w:val="00843A39"/>
    <w:rsid w:val="00844E82"/>
    <w:rsid w:val="00851AA8"/>
    <w:rsid w:val="0085708D"/>
    <w:rsid w:val="00866997"/>
    <w:rsid w:val="00887584"/>
    <w:rsid w:val="0089065F"/>
    <w:rsid w:val="00897102"/>
    <w:rsid w:val="008A758A"/>
    <w:rsid w:val="008B4FEF"/>
    <w:rsid w:val="008B7C84"/>
    <w:rsid w:val="008C3F5F"/>
    <w:rsid w:val="008E5ED1"/>
    <w:rsid w:val="008F425C"/>
    <w:rsid w:val="008F7F88"/>
    <w:rsid w:val="00902700"/>
    <w:rsid w:val="009040D1"/>
    <w:rsid w:val="009049EE"/>
    <w:rsid w:val="00915101"/>
    <w:rsid w:val="00921A95"/>
    <w:rsid w:val="00936357"/>
    <w:rsid w:val="00947C62"/>
    <w:rsid w:val="00950C64"/>
    <w:rsid w:val="00962AD9"/>
    <w:rsid w:val="0096733F"/>
    <w:rsid w:val="00992DEF"/>
    <w:rsid w:val="009A3929"/>
    <w:rsid w:val="009A3F85"/>
    <w:rsid w:val="009A4B74"/>
    <w:rsid w:val="009A708A"/>
    <w:rsid w:val="009B2648"/>
    <w:rsid w:val="009C37A9"/>
    <w:rsid w:val="009C5F4C"/>
    <w:rsid w:val="009C789C"/>
    <w:rsid w:val="009D1E7F"/>
    <w:rsid w:val="009E3006"/>
    <w:rsid w:val="009F32BF"/>
    <w:rsid w:val="00A046B3"/>
    <w:rsid w:val="00A439F5"/>
    <w:rsid w:val="00A47D89"/>
    <w:rsid w:val="00A54EFF"/>
    <w:rsid w:val="00A74535"/>
    <w:rsid w:val="00A77D05"/>
    <w:rsid w:val="00A9635D"/>
    <w:rsid w:val="00AA706F"/>
    <w:rsid w:val="00AC0F72"/>
    <w:rsid w:val="00AE4BD7"/>
    <w:rsid w:val="00AF3245"/>
    <w:rsid w:val="00AF66FA"/>
    <w:rsid w:val="00B04DD6"/>
    <w:rsid w:val="00B0631C"/>
    <w:rsid w:val="00B10E5A"/>
    <w:rsid w:val="00B12D86"/>
    <w:rsid w:val="00B35B59"/>
    <w:rsid w:val="00B513BE"/>
    <w:rsid w:val="00B62BED"/>
    <w:rsid w:val="00B66296"/>
    <w:rsid w:val="00B70488"/>
    <w:rsid w:val="00B91F3B"/>
    <w:rsid w:val="00BA0AD3"/>
    <w:rsid w:val="00BA335A"/>
    <w:rsid w:val="00BB0569"/>
    <w:rsid w:val="00BB79F7"/>
    <w:rsid w:val="00BE3AB2"/>
    <w:rsid w:val="00BE4FA3"/>
    <w:rsid w:val="00BF6634"/>
    <w:rsid w:val="00BF72D3"/>
    <w:rsid w:val="00C274BD"/>
    <w:rsid w:val="00C47523"/>
    <w:rsid w:val="00C569B2"/>
    <w:rsid w:val="00C6331D"/>
    <w:rsid w:val="00C64233"/>
    <w:rsid w:val="00C662CD"/>
    <w:rsid w:val="00C83EDC"/>
    <w:rsid w:val="00C95383"/>
    <w:rsid w:val="00C95FAA"/>
    <w:rsid w:val="00C96EDD"/>
    <w:rsid w:val="00CA43A1"/>
    <w:rsid w:val="00CA70E8"/>
    <w:rsid w:val="00CB027E"/>
    <w:rsid w:val="00CB22DC"/>
    <w:rsid w:val="00CB5420"/>
    <w:rsid w:val="00CC5525"/>
    <w:rsid w:val="00CC5DC1"/>
    <w:rsid w:val="00CC7FE8"/>
    <w:rsid w:val="00CD6425"/>
    <w:rsid w:val="00CD6893"/>
    <w:rsid w:val="00CF4FD9"/>
    <w:rsid w:val="00D17A81"/>
    <w:rsid w:val="00D203B3"/>
    <w:rsid w:val="00D42278"/>
    <w:rsid w:val="00D61883"/>
    <w:rsid w:val="00D62D6B"/>
    <w:rsid w:val="00D64E63"/>
    <w:rsid w:val="00D81E0E"/>
    <w:rsid w:val="00DA6DA6"/>
    <w:rsid w:val="00DC05A4"/>
    <w:rsid w:val="00DC29D4"/>
    <w:rsid w:val="00DD3075"/>
    <w:rsid w:val="00DF6293"/>
    <w:rsid w:val="00DF7629"/>
    <w:rsid w:val="00E01A4C"/>
    <w:rsid w:val="00E030E5"/>
    <w:rsid w:val="00E03CEA"/>
    <w:rsid w:val="00E0712B"/>
    <w:rsid w:val="00E20342"/>
    <w:rsid w:val="00E31F1E"/>
    <w:rsid w:val="00E56D71"/>
    <w:rsid w:val="00E5722D"/>
    <w:rsid w:val="00E57FC1"/>
    <w:rsid w:val="00E618CB"/>
    <w:rsid w:val="00E7055A"/>
    <w:rsid w:val="00E8402D"/>
    <w:rsid w:val="00E90455"/>
    <w:rsid w:val="00E93995"/>
    <w:rsid w:val="00EC466F"/>
    <w:rsid w:val="00EE155E"/>
    <w:rsid w:val="00EE2B4C"/>
    <w:rsid w:val="00EF429D"/>
    <w:rsid w:val="00F056B7"/>
    <w:rsid w:val="00F152AE"/>
    <w:rsid w:val="00F214EC"/>
    <w:rsid w:val="00F242DC"/>
    <w:rsid w:val="00F30147"/>
    <w:rsid w:val="00F31166"/>
    <w:rsid w:val="00F317E9"/>
    <w:rsid w:val="00F3227B"/>
    <w:rsid w:val="00F435EE"/>
    <w:rsid w:val="00F441E2"/>
    <w:rsid w:val="00F524CE"/>
    <w:rsid w:val="00F61711"/>
    <w:rsid w:val="00F74F50"/>
    <w:rsid w:val="00F75187"/>
    <w:rsid w:val="00F9141B"/>
    <w:rsid w:val="00F929A5"/>
    <w:rsid w:val="00F92B87"/>
    <w:rsid w:val="00F951B9"/>
    <w:rsid w:val="00FD7816"/>
    <w:rsid w:val="00FE3D7A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35EE"/>
    <w:pPr>
      <w:ind w:left="720"/>
      <w:contextualSpacing/>
    </w:pPr>
    <w:rPr>
      <w:rFonts w:eastAsia="Times New Roman"/>
    </w:rPr>
  </w:style>
  <w:style w:type="character" w:customStyle="1" w:styleId="redtext">
    <w:name w:val="red_text"/>
    <w:basedOn w:val="a0"/>
    <w:rsid w:val="00F435EE"/>
  </w:style>
  <w:style w:type="paragraph" w:styleId="a3">
    <w:name w:val="List Paragraph"/>
    <w:basedOn w:val="a"/>
    <w:uiPriority w:val="99"/>
    <w:qFormat/>
    <w:rsid w:val="00F435E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6345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2019-03-10T06:58:00Z</dcterms:created>
  <dcterms:modified xsi:type="dcterms:W3CDTF">2019-03-10T07:00:00Z</dcterms:modified>
</cp:coreProperties>
</file>